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4"/>
          <w:u w:val="single"/>
        </w:rPr>
      </w:pPr>
      <w:r>
        <w:rPr>
          <w:b/>
          <w:bCs/>
          <w:sz w:val="28"/>
          <w:szCs w:val="24"/>
          <w:u w:val="single"/>
        </w:rPr>
      </w:r>
    </w:p>
    <w:p>
      <w:pPr>
        <w:pStyle w:val="Normal"/>
        <w:jc w:val="center"/>
        <w:rPr>
          <w:b/>
          <w:b/>
          <w:bCs/>
          <w:sz w:val="28"/>
          <w:szCs w:val="24"/>
          <w:u w:val="single"/>
        </w:rPr>
      </w:pPr>
      <w:r>
        <w:rPr>
          <w:b/>
          <w:bCs/>
          <w:sz w:val="28"/>
          <w:szCs w:val="24"/>
          <w:u w:val="single"/>
        </w:rPr>
        <w:t>Basics of trading in Option</w:t>
      </w:r>
    </w:p>
    <w:p>
      <w:pPr>
        <w:pStyle w:val="Normal"/>
        <w:jc w:val="both"/>
        <w:rPr/>
      </w:pPr>
      <w:r>
        <w:rPr/>
        <w:t>Let us analyse a situation to understand how trading decisions are made with respect to Call and Put option. Ideally, a person can take either of the below mentioned positions in option trading.</w:t>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4508"/>
        <w:gridCol w:w="4507"/>
      </w:tblGrid>
      <w:tr>
        <w:trPr/>
        <w:tc>
          <w:tcPr>
            <w:tcW w:w="4508" w:type="dxa"/>
            <w:tcBorders/>
            <w:shd w:fill="auto" w:val="clear"/>
            <w:tcMar>
              <w:left w:w="108" w:type="dxa"/>
            </w:tcMar>
          </w:tcPr>
          <w:p>
            <w:pPr>
              <w:pStyle w:val="Normal"/>
              <w:spacing w:lineRule="auto" w:line="240" w:before="0" w:after="0"/>
              <w:jc w:val="both"/>
              <w:rPr>
                <w:b/>
                <w:b/>
                <w:bCs/>
              </w:rPr>
            </w:pPr>
            <w:r>
              <w:rPr>
                <w:b/>
                <w:bCs/>
              </w:rPr>
              <w:t>Option Position</w:t>
            </w:r>
          </w:p>
        </w:tc>
        <w:tc>
          <w:tcPr>
            <w:tcW w:w="4507" w:type="dxa"/>
            <w:tcBorders/>
            <w:shd w:fill="auto" w:val="clear"/>
            <w:tcMar>
              <w:left w:w="108" w:type="dxa"/>
            </w:tcMar>
          </w:tcPr>
          <w:p>
            <w:pPr>
              <w:pStyle w:val="Normal"/>
              <w:spacing w:lineRule="auto" w:line="240" w:before="0" w:after="0"/>
              <w:jc w:val="both"/>
              <w:rPr>
                <w:b/>
                <w:b/>
                <w:bCs/>
              </w:rPr>
            </w:pPr>
            <w:r>
              <w:rPr>
                <w:b/>
                <w:bCs/>
              </w:rPr>
              <w:t>Reason</w:t>
            </w:r>
          </w:p>
        </w:tc>
      </w:tr>
      <w:tr>
        <w:trPr/>
        <w:tc>
          <w:tcPr>
            <w:tcW w:w="4508" w:type="dxa"/>
            <w:tcBorders/>
            <w:shd w:fill="auto" w:val="clear"/>
            <w:tcMar>
              <w:left w:w="108" w:type="dxa"/>
            </w:tcMar>
          </w:tcPr>
          <w:p>
            <w:pPr>
              <w:pStyle w:val="Normal"/>
              <w:spacing w:lineRule="auto" w:line="240" w:before="0" w:after="0"/>
              <w:jc w:val="both"/>
              <w:rPr/>
            </w:pPr>
            <w:r>
              <w:rPr/>
              <w:t>Buy Call</w:t>
            </w:r>
          </w:p>
        </w:tc>
        <w:tc>
          <w:tcPr>
            <w:tcW w:w="4507" w:type="dxa"/>
            <w:tcBorders/>
            <w:shd w:fill="auto" w:val="clear"/>
            <w:tcMar>
              <w:left w:w="108" w:type="dxa"/>
            </w:tcMar>
          </w:tcPr>
          <w:p>
            <w:pPr>
              <w:pStyle w:val="Normal"/>
              <w:spacing w:lineRule="auto" w:line="240" w:before="0" w:after="0"/>
              <w:jc w:val="both"/>
              <w:rPr/>
            </w:pPr>
            <w:r>
              <w:rPr/>
              <w:t>Expects market/spot value to go up</w:t>
            </w:r>
          </w:p>
        </w:tc>
      </w:tr>
      <w:tr>
        <w:trPr/>
        <w:tc>
          <w:tcPr>
            <w:tcW w:w="4508" w:type="dxa"/>
            <w:tcBorders/>
            <w:shd w:fill="auto" w:val="clear"/>
            <w:tcMar>
              <w:left w:w="108" w:type="dxa"/>
            </w:tcMar>
          </w:tcPr>
          <w:p>
            <w:pPr>
              <w:pStyle w:val="Normal"/>
              <w:spacing w:lineRule="auto" w:line="240" w:before="0" w:after="0"/>
              <w:jc w:val="both"/>
              <w:rPr/>
            </w:pPr>
            <w:r>
              <w:rPr/>
              <w:t>Sell Call</w:t>
            </w:r>
          </w:p>
        </w:tc>
        <w:tc>
          <w:tcPr>
            <w:tcW w:w="4507" w:type="dxa"/>
            <w:tcBorders/>
            <w:shd w:fill="auto" w:val="clear"/>
            <w:tcMar>
              <w:left w:w="108" w:type="dxa"/>
            </w:tcMar>
          </w:tcPr>
          <w:p>
            <w:pPr>
              <w:pStyle w:val="Normal"/>
              <w:spacing w:lineRule="auto" w:line="240" w:before="0" w:after="0"/>
              <w:jc w:val="both"/>
              <w:rPr/>
            </w:pPr>
            <w:r>
              <w:rPr/>
              <w:t>Expects market/spot value to go down</w:t>
            </w:r>
          </w:p>
        </w:tc>
      </w:tr>
      <w:tr>
        <w:trPr/>
        <w:tc>
          <w:tcPr>
            <w:tcW w:w="4508" w:type="dxa"/>
            <w:tcBorders/>
            <w:shd w:fill="auto" w:val="clear"/>
            <w:tcMar>
              <w:left w:w="108" w:type="dxa"/>
            </w:tcMar>
          </w:tcPr>
          <w:p>
            <w:pPr>
              <w:pStyle w:val="Normal"/>
              <w:spacing w:lineRule="auto" w:line="240" w:before="0" w:after="0"/>
              <w:jc w:val="both"/>
              <w:rPr/>
            </w:pPr>
            <w:r>
              <w:rPr/>
              <w:t>Buy Put</w:t>
            </w:r>
          </w:p>
        </w:tc>
        <w:tc>
          <w:tcPr>
            <w:tcW w:w="4507" w:type="dxa"/>
            <w:tcBorders/>
            <w:shd w:fill="auto" w:val="clear"/>
            <w:tcMar>
              <w:left w:w="108" w:type="dxa"/>
            </w:tcMar>
          </w:tcPr>
          <w:p>
            <w:pPr>
              <w:pStyle w:val="Normal"/>
              <w:spacing w:lineRule="auto" w:line="240" w:before="0" w:after="0"/>
              <w:jc w:val="both"/>
              <w:rPr/>
            </w:pPr>
            <w:r>
              <w:rPr/>
              <w:t>Expects market/spot value to go down</w:t>
            </w:r>
          </w:p>
        </w:tc>
      </w:tr>
      <w:tr>
        <w:trPr/>
        <w:tc>
          <w:tcPr>
            <w:tcW w:w="4508" w:type="dxa"/>
            <w:tcBorders/>
            <w:shd w:fill="auto" w:val="clear"/>
            <w:tcMar>
              <w:left w:w="108" w:type="dxa"/>
            </w:tcMar>
          </w:tcPr>
          <w:p>
            <w:pPr>
              <w:pStyle w:val="Normal"/>
              <w:spacing w:lineRule="auto" w:line="240" w:before="0" w:after="0"/>
              <w:jc w:val="both"/>
              <w:rPr/>
            </w:pPr>
            <w:r>
              <w:rPr/>
              <w:t>Sell Put</w:t>
            </w:r>
          </w:p>
        </w:tc>
        <w:tc>
          <w:tcPr>
            <w:tcW w:w="4507" w:type="dxa"/>
            <w:tcBorders/>
            <w:shd w:fill="auto" w:val="clear"/>
            <w:tcMar>
              <w:left w:w="108" w:type="dxa"/>
            </w:tcMar>
          </w:tcPr>
          <w:p>
            <w:pPr>
              <w:pStyle w:val="Normal"/>
              <w:spacing w:lineRule="auto" w:line="240" w:before="0" w:after="0"/>
              <w:jc w:val="both"/>
              <w:rPr/>
            </w:pPr>
            <w:r>
              <w:rPr/>
              <w:t>Expects market/spot value to go up</w:t>
            </w:r>
          </w:p>
        </w:tc>
      </w:tr>
    </w:tbl>
    <w:p>
      <w:pPr>
        <w:pStyle w:val="Normal"/>
        <w:jc w:val="both"/>
        <w:rPr/>
      </w:pPr>
      <w:r>
        <w:rPr/>
      </w:r>
    </w:p>
    <w:p>
      <w:pPr>
        <w:pStyle w:val="Normal"/>
        <w:jc w:val="both"/>
        <w:rPr/>
      </w:pPr>
      <w:r>
        <w:rPr/>
        <w:t>While taking either of the above-mentioned position, it is also important to understand how immediate cash inflow or outflow will happen. Buyer pays premium in option trading while seller receives premium. So, cash inflow and outflow of premium can be described as follows:</w:t>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4508"/>
        <w:gridCol w:w="4507"/>
      </w:tblGrid>
      <w:tr>
        <w:trPr/>
        <w:tc>
          <w:tcPr>
            <w:tcW w:w="4508" w:type="dxa"/>
            <w:tcBorders/>
            <w:shd w:fill="auto" w:val="clear"/>
            <w:tcMar>
              <w:left w:w="108" w:type="dxa"/>
            </w:tcMar>
          </w:tcPr>
          <w:p>
            <w:pPr>
              <w:pStyle w:val="Normal"/>
              <w:spacing w:lineRule="auto" w:line="240" w:before="0" w:after="0"/>
              <w:jc w:val="both"/>
              <w:rPr>
                <w:b/>
                <w:b/>
                <w:bCs/>
              </w:rPr>
            </w:pPr>
            <w:r>
              <w:rPr>
                <w:b/>
                <w:bCs/>
              </w:rPr>
              <w:t>Option Position</w:t>
            </w:r>
          </w:p>
        </w:tc>
        <w:tc>
          <w:tcPr>
            <w:tcW w:w="4507" w:type="dxa"/>
            <w:tcBorders/>
            <w:shd w:fill="auto" w:val="clear"/>
            <w:tcMar>
              <w:left w:w="108" w:type="dxa"/>
            </w:tcMar>
          </w:tcPr>
          <w:p>
            <w:pPr>
              <w:pStyle w:val="Normal"/>
              <w:spacing w:lineRule="auto" w:line="240" w:before="0" w:after="0"/>
              <w:jc w:val="both"/>
              <w:rPr>
                <w:b/>
                <w:b/>
                <w:bCs/>
              </w:rPr>
            </w:pPr>
            <w:r>
              <w:rPr>
                <w:b/>
                <w:bCs/>
              </w:rPr>
              <w:t>Cash inflow/Outflow</w:t>
            </w:r>
          </w:p>
        </w:tc>
      </w:tr>
      <w:tr>
        <w:trPr/>
        <w:tc>
          <w:tcPr>
            <w:tcW w:w="4508" w:type="dxa"/>
            <w:tcBorders/>
            <w:shd w:fill="auto" w:val="clear"/>
            <w:tcMar>
              <w:left w:w="108" w:type="dxa"/>
            </w:tcMar>
          </w:tcPr>
          <w:p>
            <w:pPr>
              <w:pStyle w:val="Normal"/>
              <w:spacing w:lineRule="auto" w:line="240" w:before="0" w:after="0"/>
              <w:jc w:val="both"/>
              <w:rPr/>
            </w:pPr>
            <w:r>
              <w:rPr/>
              <w:t>Buyer of Call</w:t>
            </w:r>
          </w:p>
        </w:tc>
        <w:tc>
          <w:tcPr>
            <w:tcW w:w="4507" w:type="dxa"/>
            <w:tcBorders/>
            <w:shd w:fill="auto" w:val="clear"/>
            <w:tcMar>
              <w:left w:w="108" w:type="dxa"/>
            </w:tcMar>
          </w:tcPr>
          <w:p>
            <w:pPr>
              <w:pStyle w:val="Normal"/>
              <w:spacing w:lineRule="auto" w:line="240" w:before="0" w:after="0"/>
              <w:jc w:val="both"/>
              <w:rPr/>
            </w:pPr>
            <w:r>
              <w:rPr/>
              <w:t>Pays premium</w:t>
            </w:r>
          </w:p>
        </w:tc>
      </w:tr>
      <w:tr>
        <w:trPr/>
        <w:tc>
          <w:tcPr>
            <w:tcW w:w="4508" w:type="dxa"/>
            <w:tcBorders/>
            <w:shd w:fill="auto" w:val="clear"/>
            <w:tcMar>
              <w:left w:w="108" w:type="dxa"/>
            </w:tcMar>
          </w:tcPr>
          <w:p>
            <w:pPr>
              <w:pStyle w:val="Normal"/>
              <w:spacing w:lineRule="auto" w:line="240" w:before="0" w:after="0"/>
              <w:jc w:val="both"/>
              <w:rPr/>
            </w:pPr>
            <w:r>
              <w:rPr/>
              <w:t>Seller of Call</w:t>
            </w:r>
          </w:p>
        </w:tc>
        <w:tc>
          <w:tcPr>
            <w:tcW w:w="4507" w:type="dxa"/>
            <w:tcBorders/>
            <w:shd w:fill="auto" w:val="clear"/>
            <w:tcMar>
              <w:left w:w="108" w:type="dxa"/>
            </w:tcMar>
          </w:tcPr>
          <w:p>
            <w:pPr>
              <w:pStyle w:val="Normal"/>
              <w:spacing w:lineRule="auto" w:line="240" w:before="0" w:after="0"/>
              <w:jc w:val="both"/>
              <w:rPr/>
            </w:pPr>
            <w:r>
              <w:rPr/>
              <w:t>Receives Premium</w:t>
            </w:r>
          </w:p>
        </w:tc>
      </w:tr>
      <w:tr>
        <w:trPr/>
        <w:tc>
          <w:tcPr>
            <w:tcW w:w="4508" w:type="dxa"/>
            <w:tcBorders/>
            <w:shd w:fill="auto" w:val="clear"/>
            <w:tcMar>
              <w:left w:w="108" w:type="dxa"/>
            </w:tcMar>
          </w:tcPr>
          <w:p>
            <w:pPr>
              <w:pStyle w:val="Normal"/>
              <w:spacing w:lineRule="auto" w:line="240" w:before="0" w:after="0"/>
              <w:jc w:val="both"/>
              <w:rPr/>
            </w:pPr>
            <w:r>
              <w:rPr/>
              <w:t>Buyer of Put</w:t>
            </w:r>
          </w:p>
        </w:tc>
        <w:tc>
          <w:tcPr>
            <w:tcW w:w="4507" w:type="dxa"/>
            <w:tcBorders/>
            <w:shd w:fill="auto" w:val="clear"/>
            <w:tcMar>
              <w:left w:w="108" w:type="dxa"/>
            </w:tcMar>
          </w:tcPr>
          <w:p>
            <w:pPr>
              <w:pStyle w:val="Normal"/>
              <w:spacing w:lineRule="auto" w:line="240" w:before="0" w:after="0"/>
              <w:jc w:val="both"/>
              <w:rPr/>
            </w:pPr>
            <w:r>
              <w:rPr/>
              <w:t>Pays Premium</w:t>
            </w:r>
          </w:p>
        </w:tc>
      </w:tr>
      <w:tr>
        <w:trPr/>
        <w:tc>
          <w:tcPr>
            <w:tcW w:w="4508" w:type="dxa"/>
            <w:tcBorders/>
            <w:shd w:fill="auto" w:val="clear"/>
            <w:tcMar>
              <w:left w:w="108" w:type="dxa"/>
            </w:tcMar>
          </w:tcPr>
          <w:p>
            <w:pPr>
              <w:pStyle w:val="Normal"/>
              <w:spacing w:lineRule="auto" w:line="240" w:before="0" w:after="0"/>
              <w:jc w:val="both"/>
              <w:rPr/>
            </w:pPr>
            <w:r>
              <w:rPr/>
              <w:t>Seller of Put</w:t>
            </w:r>
          </w:p>
        </w:tc>
        <w:tc>
          <w:tcPr>
            <w:tcW w:w="4507" w:type="dxa"/>
            <w:tcBorders/>
            <w:shd w:fill="auto" w:val="clear"/>
            <w:tcMar>
              <w:left w:w="108" w:type="dxa"/>
            </w:tcMar>
          </w:tcPr>
          <w:p>
            <w:pPr>
              <w:pStyle w:val="Normal"/>
              <w:spacing w:lineRule="auto" w:line="240" w:before="0" w:after="0"/>
              <w:jc w:val="both"/>
              <w:rPr/>
            </w:pPr>
            <w:r>
              <w:rPr/>
              <w:t>Receives Premium</w:t>
            </w:r>
          </w:p>
        </w:tc>
      </w:tr>
    </w:tbl>
    <w:p>
      <w:pPr>
        <w:pStyle w:val="Normal"/>
        <w:jc w:val="both"/>
        <w:rPr/>
      </w:pPr>
      <w:r>
        <w:rPr/>
      </w:r>
    </w:p>
    <w:p>
      <w:pPr>
        <w:pStyle w:val="Normal"/>
        <w:jc w:val="both"/>
        <w:rPr/>
      </w:pPr>
      <w:r>
        <w:rPr/>
        <w:t xml:space="preserve">Having understood above mentioned aspects, let us now evaluate answer to the question which is given below. </w:t>
      </w:r>
    </w:p>
    <w:p>
      <w:pPr>
        <w:pStyle w:val="Normal"/>
        <w:jc w:val="both"/>
        <w:rPr>
          <w:b/>
          <w:b/>
          <w:bCs/>
          <w:i/>
          <w:i/>
          <w:iCs/>
        </w:rPr>
      </w:pPr>
      <w:r>
        <w:rPr>
          <w:b/>
          <w:bCs/>
          <w:i/>
          <w:iCs/>
        </w:rPr>
        <w:t>Question: If a person expects market to go up from current levels, which of the following is the best trading strategy?</w:t>
      </w:r>
    </w:p>
    <w:tbl>
      <w:tblPr>
        <w:tblStyle w:val="TableGrid"/>
        <w:tblW w:w="3075" w:type="dxa"/>
        <w:jc w:val="left"/>
        <w:tblInd w:w="0" w:type="dxa"/>
        <w:tblCellMar>
          <w:top w:w="0" w:type="dxa"/>
          <w:left w:w="108" w:type="dxa"/>
          <w:bottom w:w="0" w:type="dxa"/>
          <w:right w:w="108" w:type="dxa"/>
        </w:tblCellMar>
        <w:tblLook w:val="04a0" w:noVBand="1" w:noHBand="0" w:lastColumn="0" w:firstColumn="1" w:lastRow="0" w:firstRow="1"/>
      </w:tblPr>
      <w:tblGrid>
        <w:gridCol w:w="3075"/>
      </w:tblGrid>
      <w:tr>
        <w:trPr>
          <w:trHeight w:val="430" w:hRule="atLeast"/>
        </w:trPr>
        <w:tc>
          <w:tcPr>
            <w:tcW w:w="3075" w:type="dxa"/>
            <w:tcBorders/>
            <w:shd w:fill="auto" w:val="clear"/>
            <w:tcMar>
              <w:left w:w="108" w:type="dxa"/>
            </w:tcMar>
          </w:tcPr>
          <w:p>
            <w:pPr>
              <w:pStyle w:val="Normal"/>
              <w:spacing w:lineRule="auto" w:line="240" w:before="0" w:after="0"/>
              <w:jc w:val="both"/>
              <w:rPr>
                <w:b/>
                <w:b/>
                <w:bCs/>
                <w:i/>
                <w:i/>
                <w:iCs/>
              </w:rPr>
            </w:pPr>
            <w:r>
              <w:rPr>
                <w:b/>
                <w:bCs/>
                <w:i/>
                <w:iCs/>
              </w:rPr>
              <w:t>Buy Call</w:t>
            </w:r>
          </w:p>
        </w:tc>
      </w:tr>
      <w:tr>
        <w:trPr>
          <w:trHeight w:val="430" w:hRule="atLeast"/>
        </w:trPr>
        <w:tc>
          <w:tcPr>
            <w:tcW w:w="3075" w:type="dxa"/>
            <w:tcBorders/>
            <w:shd w:fill="auto" w:val="clear"/>
            <w:tcMar>
              <w:left w:w="108" w:type="dxa"/>
            </w:tcMar>
          </w:tcPr>
          <w:p>
            <w:pPr>
              <w:pStyle w:val="Normal"/>
              <w:spacing w:lineRule="auto" w:line="240" w:before="0" w:after="0"/>
              <w:jc w:val="both"/>
              <w:rPr>
                <w:b/>
                <w:b/>
                <w:bCs/>
                <w:i/>
                <w:i/>
                <w:iCs/>
              </w:rPr>
            </w:pPr>
            <w:r>
              <w:rPr>
                <w:b/>
                <w:bCs/>
                <w:i/>
                <w:iCs/>
              </w:rPr>
              <w:t>Sell Call</w:t>
            </w:r>
          </w:p>
        </w:tc>
      </w:tr>
      <w:tr>
        <w:trPr>
          <w:trHeight w:val="430" w:hRule="atLeast"/>
        </w:trPr>
        <w:tc>
          <w:tcPr>
            <w:tcW w:w="3075" w:type="dxa"/>
            <w:tcBorders/>
            <w:shd w:fill="auto" w:val="clear"/>
            <w:tcMar>
              <w:left w:w="108" w:type="dxa"/>
            </w:tcMar>
          </w:tcPr>
          <w:p>
            <w:pPr>
              <w:pStyle w:val="Normal"/>
              <w:spacing w:lineRule="auto" w:line="240" w:before="0" w:after="0"/>
              <w:jc w:val="both"/>
              <w:rPr>
                <w:b/>
                <w:b/>
                <w:bCs/>
                <w:i/>
                <w:i/>
                <w:iCs/>
              </w:rPr>
            </w:pPr>
            <w:r>
              <w:rPr>
                <w:b/>
                <w:bCs/>
                <w:i/>
                <w:iCs/>
              </w:rPr>
              <w:t>Buy Put</w:t>
            </w:r>
          </w:p>
        </w:tc>
      </w:tr>
      <w:tr>
        <w:trPr>
          <w:trHeight w:val="430" w:hRule="atLeast"/>
        </w:trPr>
        <w:tc>
          <w:tcPr>
            <w:tcW w:w="3075" w:type="dxa"/>
            <w:tcBorders/>
            <w:shd w:fill="auto" w:val="clear"/>
            <w:tcMar>
              <w:left w:w="108" w:type="dxa"/>
            </w:tcMar>
          </w:tcPr>
          <w:p>
            <w:pPr>
              <w:pStyle w:val="Normal"/>
              <w:spacing w:lineRule="auto" w:line="240" w:before="0" w:after="0"/>
              <w:jc w:val="both"/>
              <w:rPr>
                <w:b/>
                <w:b/>
                <w:bCs/>
                <w:i/>
                <w:i/>
                <w:iCs/>
              </w:rPr>
            </w:pPr>
            <w:r>
              <w:rPr>
                <w:b/>
                <w:bCs/>
                <w:i/>
                <w:iCs/>
              </w:rPr>
              <w:t>Sell Put</w:t>
            </w:r>
          </w:p>
        </w:tc>
      </w:tr>
    </w:tbl>
    <w:p>
      <w:pPr>
        <w:pStyle w:val="Normal"/>
        <w:jc w:val="both"/>
        <w:rPr>
          <w:b/>
          <w:b/>
          <w:bCs/>
          <w:i/>
          <w:i/>
          <w:iCs/>
        </w:rPr>
      </w:pPr>
      <w:r>
        <w:rPr>
          <w:b/>
          <w:bCs/>
          <w:i/>
          <w:iCs/>
        </w:rPr>
      </w:r>
    </w:p>
    <w:p>
      <w:pPr>
        <w:pStyle w:val="Normal"/>
        <w:jc w:val="both"/>
        <w:rPr>
          <w:b/>
          <w:b/>
          <w:bCs/>
          <w:i/>
          <w:i/>
          <w:iCs/>
        </w:rPr>
      </w:pPr>
      <w:r>
        <w:rPr>
          <w:b/>
          <w:bCs/>
          <w:i/>
          <w:iCs/>
        </w:rPr>
        <w:t>Answer: Let us evaluate each of the four situations separately.</w:t>
      </w:r>
    </w:p>
    <w:p>
      <w:pPr>
        <w:pStyle w:val="Normal"/>
        <w:jc w:val="both"/>
        <w:rPr>
          <w:b/>
          <w:b/>
          <w:bCs/>
          <w:i/>
          <w:i/>
          <w:iCs/>
        </w:rPr>
      </w:pPr>
      <w:r>
        <w:rPr>
          <w:b/>
          <w:bCs/>
          <w:i/>
          <w:iCs/>
        </w:rPr>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9016"/>
      </w:tblGrid>
      <w:tr>
        <w:trPr/>
        <w:tc>
          <w:tcPr>
            <w:tcW w:w="9016" w:type="dxa"/>
            <w:tcBorders/>
            <w:shd w:fill="auto" w:val="clear"/>
            <w:tcMar>
              <w:left w:w="108" w:type="dxa"/>
            </w:tcMar>
          </w:tcPr>
          <w:p>
            <w:pPr>
              <w:pStyle w:val="Normal"/>
              <w:spacing w:lineRule="auto" w:line="240" w:before="0" w:after="0"/>
              <w:jc w:val="both"/>
              <w:rPr>
                <w:b/>
                <w:b/>
                <w:bCs/>
                <w:i/>
                <w:i/>
                <w:iCs/>
              </w:rPr>
            </w:pPr>
            <w:r>
              <w:rPr>
                <w:b/>
                <w:bCs/>
                <w:i/>
                <w:iCs/>
              </w:rPr>
              <w:t>Buy Call: When the market goes up from current level, the buyer of the call option will benefit. Call option gives right to buy, so if the market goes up buyer will like to exercise his option.</w:t>
            </w:r>
          </w:p>
        </w:tc>
      </w:tr>
    </w:tbl>
    <w:p>
      <w:pPr>
        <w:pStyle w:val="Normal"/>
        <w:jc w:val="both"/>
        <w:rPr>
          <w:b/>
          <w:b/>
          <w:bCs/>
          <w:i/>
          <w:i/>
          <w:iCs/>
        </w:rPr>
      </w:pPr>
      <w:r>
        <w:rPr>
          <w:b/>
          <w:bCs/>
          <w:i/>
          <w:iCs/>
        </w:rPr>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9016"/>
      </w:tblGrid>
      <w:tr>
        <w:trPr/>
        <w:tc>
          <w:tcPr>
            <w:tcW w:w="9016" w:type="dxa"/>
            <w:tcBorders/>
            <w:shd w:fill="auto" w:val="clear"/>
            <w:tcMar>
              <w:left w:w="108" w:type="dxa"/>
            </w:tcMar>
          </w:tcPr>
          <w:p>
            <w:pPr>
              <w:pStyle w:val="Normal"/>
              <w:spacing w:lineRule="auto" w:line="240" w:before="0" w:after="0"/>
              <w:jc w:val="both"/>
              <w:rPr>
                <w:b/>
                <w:b/>
                <w:bCs/>
                <w:i/>
                <w:i/>
                <w:iCs/>
              </w:rPr>
            </w:pPr>
            <w:r>
              <w:rPr>
                <w:b/>
                <w:bCs/>
                <w:i/>
                <w:iCs/>
              </w:rPr>
              <w:t xml:space="preserve">Sell Call: Since market is likely to go up from current level, selling call option is not a good idea. Since buyer will exercise the option when market goes up, seller will have to take loss. In fact, loss of a call option seller can be unlimited as the market goes up. </w:t>
            </w:r>
          </w:p>
        </w:tc>
      </w:tr>
    </w:tbl>
    <w:p>
      <w:pPr>
        <w:pStyle w:val="Normal"/>
        <w:jc w:val="both"/>
        <w:rPr>
          <w:b/>
          <w:b/>
          <w:bCs/>
          <w:i/>
          <w:i/>
          <w:iCs/>
        </w:rPr>
      </w:pPr>
      <w:r>
        <w:rPr>
          <w:b/>
          <w:bCs/>
          <w:i/>
          <w:iCs/>
        </w:rPr>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9016"/>
      </w:tblGrid>
      <w:tr>
        <w:trPr/>
        <w:tc>
          <w:tcPr>
            <w:tcW w:w="9016" w:type="dxa"/>
            <w:tcBorders/>
            <w:shd w:fill="auto" w:val="clear"/>
            <w:tcMar>
              <w:left w:w="108" w:type="dxa"/>
            </w:tcMar>
          </w:tcPr>
          <w:p>
            <w:pPr>
              <w:pStyle w:val="Normal"/>
              <w:spacing w:lineRule="auto" w:line="240" w:before="0" w:after="0"/>
              <w:jc w:val="both"/>
              <w:rPr>
                <w:b/>
                <w:b/>
                <w:bCs/>
                <w:i/>
                <w:i/>
                <w:iCs/>
              </w:rPr>
            </w:pPr>
            <w:r>
              <w:rPr>
                <w:b/>
                <w:bCs/>
                <w:i/>
                <w:iCs/>
              </w:rPr>
              <w:t>Buy Put: Put option gives right to sell. In a rising market put option buyer cannot make money. Put option works when the market is expected to go down. However, as the buyer of put option, loss of the buyer of put can be only limited to the premium.</w:t>
            </w:r>
          </w:p>
        </w:tc>
      </w:tr>
      <w:tr>
        <w:trPr/>
        <w:tc>
          <w:tcPr>
            <w:tcW w:w="9016" w:type="dxa"/>
            <w:tcBorders/>
            <w:shd w:fill="auto" w:val="clear"/>
            <w:tcMar>
              <w:left w:w="108" w:type="dxa"/>
            </w:tcMar>
          </w:tcPr>
          <w:p>
            <w:pPr>
              <w:pStyle w:val="Normal"/>
              <w:spacing w:lineRule="auto" w:line="240" w:before="0" w:after="0"/>
              <w:jc w:val="both"/>
              <w:rPr>
                <w:b/>
                <w:b/>
                <w:bCs/>
                <w:i/>
                <w:i/>
                <w:iCs/>
              </w:rPr>
            </w:pPr>
            <w:r>
              <w:rPr>
                <w:b/>
                <w:bCs/>
                <w:i/>
                <w:iCs/>
              </w:rPr>
              <w:t>Sell Put: Selling put is like buying call in one aspect. Both buyer of the call and seller of the put expect market to go up. As the market goes up, buyer of put option will not exercise option and hence seller will retain premium.</w:t>
            </w:r>
          </w:p>
        </w:tc>
      </w:tr>
    </w:tbl>
    <w:p>
      <w:pPr>
        <w:pStyle w:val="Normal"/>
        <w:jc w:val="both"/>
        <w:rPr>
          <w:i/>
          <w:i/>
          <w:iCs/>
        </w:rPr>
      </w:pPr>
      <w:r>
        <w:rPr>
          <w:i/>
          <w:iCs/>
        </w:rPr>
      </w:r>
    </w:p>
    <w:p>
      <w:pPr>
        <w:pStyle w:val="Normal"/>
        <w:jc w:val="both"/>
        <w:rPr/>
      </w:pPr>
      <w:r>
        <w:rPr/>
        <w:t>So, what is the conclusion:</w:t>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2404"/>
        <w:gridCol w:w="6611"/>
      </w:tblGrid>
      <w:tr>
        <w:trPr/>
        <w:tc>
          <w:tcPr>
            <w:tcW w:w="2404" w:type="dxa"/>
            <w:tcBorders/>
            <w:shd w:fill="auto" w:val="clear"/>
            <w:tcMar>
              <w:left w:w="108" w:type="dxa"/>
            </w:tcMar>
          </w:tcPr>
          <w:p>
            <w:pPr>
              <w:pStyle w:val="Normal"/>
              <w:spacing w:lineRule="auto" w:line="240" w:before="0" w:after="0"/>
              <w:jc w:val="both"/>
              <w:rPr/>
            </w:pPr>
            <w:r>
              <w:rPr/>
              <w:t>Trading Position</w:t>
            </w:r>
          </w:p>
        </w:tc>
        <w:tc>
          <w:tcPr>
            <w:tcW w:w="6611" w:type="dxa"/>
            <w:tcBorders/>
            <w:shd w:fill="auto" w:val="clear"/>
            <w:tcMar>
              <w:left w:w="108" w:type="dxa"/>
            </w:tcMar>
          </w:tcPr>
          <w:p>
            <w:pPr>
              <w:pStyle w:val="Normal"/>
              <w:spacing w:lineRule="auto" w:line="240" w:before="0" w:after="0"/>
              <w:jc w:val="both"/>
              <w:rPr/>
            </w:pPr>
            <w:r>
              <w:rPr/>
              <w:t>Gain/Loss</w:t>
            </w:r>
          </w:p>
        </w:tc>
      </w:tr>
      <w:tr>
        <w:trPr/>
        <w:tc>
          <w:tcPr>
            <w:tcW w:w="2404" w:type="dxa"/>
            <w:tcBorders/>
            <w:shd w:fill="auto" w:val="clear"/>
            <w:tcMar>
              <w:left w:w="108" w:type="dxa"/>
            </w:tcMar>
          </w:tcPr>
          <w:p>
            <w:pPr>
              <w:pStyle w:val="Normal"/>
              <w:spacing w:lineRule="auto" w:line="240" w:before="0" w:after="0"/>
              <w:jc w:val="both"/>
              <w:rPr/>
            </w:pPr>
            <w:r>
              <w:rPr/>
              <w:t>Buyer of Call Option</w:t>
            </w:r>
          </w:p>
        </w:tc>
        <w:tc>
          <w:tcPr>
            <w:tcW w:w="6611" w:type="dxa"/>
            <w:tcBorders/>
            <w:shd w:fill="auto" w:val="clear"/>
            <w:tcMar>
              <w:left w:w="108" w:type="dxa"/>
            </w:tcMar>
          </w:tcPr>
          <w:p>
            <w:pPr>
              <w:pStyle w:val="Normal"/>
              <w:spacing w:lineRule="auto" w:line="240" w:before="0" w:after="0"/>
              <w:jc w:val="both"/>
              <w:rPr/>
            </w:pPr>
            <w:r>
              <w:rPr/>
              <w:t>Will gain in the rising market.</w:t>
            </w:r>
          </w:p>
        </w:tc>
      </w:tr>
      <w:tr>
        <w:trPr/>
        <w:tc>
          <w:tcPr>
            <w:tcW w:w="2404" w:type="dxa"/>
            <w:tcBorders/>
            <w:shd w:fill="auto" w:val="clear"/>
            <w:tcMar>
              <w:left w:w="108" w:type="dxa"/>
            </w:tcMar>
          </w:tcPr>
          <w:p>
            <w:pPr>
              <w:pStyle w:val="Normal"/>
              <w:spacing w:lineRule="auto" w:line="240" w:before="0" w:after="0"/>
              <w:jc w:val="both"/>
              <w:rPr/>
            </w:pPr>
            <w:r>
              <w:rPr/>
              <w:t>Seller of Call Option</w:t>
            </w:r>
          </w:p>
        </w:tc>
        <w:tc>
          <w:tcPr>
            <w:tcW w:w="6611" w:type="dxa"/>
            <w:tcBorders/>
            <w:shd w:fill="auto" w:val="clear"/>
            <w:tcMar>
              <w:left w:w="108" w:type="dxa"/>
            </w:tcMar>
          </w:tcPr>
          <w:p>
            <w:pPr>
              <w:pStyle w:val="Normal"/>
              <w:spacing w:lineRule="auto" w:line="240" w:before="0" w:after="0"/>
              <w:jc w:val="both"/>
              <w:rPr/>
            </w:pPr>
            <w:r>
              <w:rPr/>
              <w:t>Will make loss in the rising market. Loss can be substantial depending upon how the market moves.</w:t>
            </w:r>
          </w:p>
        </w:tc>
      </w:tr>
      <w:tr>
        <w:trPr/>
        <w:tc>
          <w:tcPr>
            <w:tcW w:w="2404" w:type="dxa"/>
            <w:tcBorders/>
            <w:shd w:fill="auto" w:val="clear"/>
            <w:tcMar>
              <w:left w:w="108" w:type="dxa"/>
            </w:tcMar>
          </w:tcPr>
          <w:p>
            <w:pPr>
              <w:pStyle w:val="Normal"/>
              <w:spacing w:lineRule="auto" w:line="240" w:before="0" w:after="0"/>
              <w:jc w:val="both"/>
              <w:rPr/>
            </w:pPr>
            <w:r>
              <w:rPr/>
              <w:t>Buyer of Put Option</w:t>
            </w:r>
          </w:p>
        </w:tc>
        <w:tc>
          <w:tcPr>
            <w:tcW w:w="6611" w:type="dxa"/>
            <w:tcBorders/>
            <w:shd w:fill="auto" w:val="clear"/>
            <w:tcMar>
              <w:left w:w="108" w:type="dxa"/>
            </w:tcMar>
          </w:tcPr>
          <w:p>
            <w:pPr>
              <w:pStyle w:val="Normal"/>
              <w:spacing w:lineRule="auto" w:line="240" w:before="0" w:after="0"/>
              <w:jc w:val="both"/>
              <w:rPr/>
            </w:pPr>
            <w:r>
              <w:rPr/>
              <w:t>Will not make money in the rising market, however the loss will be limited to the premium paid</w:t>
            </w:r>
          </w:p>
        </w:tc>
      </w:tr>
      <w:tr>
        <w:trPr/>
        <w:tc>
          <w:tcPr>
            <w:tcW w:w="2404" w:type="dxa"/>
            <w:tcBorders/>
            <w:shd w:fill="auto" w:val="clear"/>
            <w:tcMar>
              <w:left w:w="108" w:type="dxa"/>
            </w:tcMar>
          </w:tcPr>
          <w:p>
            <w:pPr>
              <w:pStyle w:val="Normal"/>
              <w:spacing w:lineRule="auto" w:line="240" w:before="0" w:after="0"/>
              <w:jc w:val="both"/>
              <w:rPr/>
            </w:pPr>
            <w:r>
              <w:rPr/>
              <w:t>Seller of Put Option</w:t>
            </w:r>
          </w:p>
        </w:tc>
        <w:tc>
          <w:tcPr>
            <w:tcW w:w="6611" w:type="dxa"/>
            <w:tcBorders/>
            <w:shd w:fill="auto" w:val="clear"/>
            <w:tcMar>
              <w:left w:w="108" w:type="dxa"/>
            </w:tcMar>
          </w:tcPr>
          <w:p>
            <w:pPr>
              <w:pStyle w:val="Normal"/>
              <w:spacing w:lineRule="auto" w:line="240" w:before="0" w:after="0"/>
              <w:jc w:val="both"/>
              <w:rPr/>
            </w:pPr>
            <w:r>
              <w:rPr/>
              <w:t>Will retain premium as buyer of put will not exercise option.</w:t>
            </w:r>
          </w:p>
        </w:tc>
      </w:tr>
    </w:tbl>
    <w:p>
      <w:pPr>
        <w:pStyle w:val="Normal"/>
        <w:jc w:val="both"/>
        <w:rPr/>
      </w:pPr>
      <w:r>
        <w:rPr/>
      </w:r>
    </w:p>
    <w:p>
      <w:pPr>
        <w:pStyle w:val="Normal"/>
        <w:jc w:val="both"/>
        <w:rPr/>
      </w:pPr>
      <w:r>
        <w:rPr/>
        <w:t>Ranking will be as follows:</w:t>
      </w:r>
    </w:p>
    <w:p>
      <w:pPr>
        <w:pStyle w:val="Normal"/>
        <w:jc w:val="both"/>
        <w:rPr/>
      </w:pPr>
      <w:r>
        <w:rPr/>
        <w:t>1) Buy Call</w:t>
      </w:r>
    </w:p>
    <w:p>
      <w:pPr>
        <w:pStyle w:val="Normal"/>
        <w:jc w:val="both"/>
        <w:rPr/>
      </w:pPr>
      <w:r>
        <w:rPr/>
        <w:t>2) Sell Put</w:t>
      </w:r>
    </w:p>
    <w:p>
      <w:pPr>
        <w:pStyle w:val="Normal"/>
        <w:jc w:val="both"/>
        <w:rPr/>
      </w:pPr>
      <w:r>
        <w:rPr/>
        <w:t>3) Buy Put</w:t>
      </w:r>
    </w:p>
    <w:p>
      <w:pPr>
        <w:pStyle w:val="Normal"/>
        <w:jc w:val="both"/>
        <w:rPr/>
      </w:pPr>
      <w:r>
        <w:rPr/>
        <w:t>4) Sell Call</w:t>
      </w:r>
    </w:p>
    <w:p>
      <w:pPr>
        <w:pStyle w:val="Normal"/>
        <w:jc w:val="both"/>
        <w:rPr/>
      </w:pPr>
      <w:r>
        <w:rPr/>
      </w:r>
    </w:p>
    <w:p>
      <w:pPr>
        <w:pStyle w:val="Normal"/>
        <w:spacing w:before="0" w:after="160"/>
        <w:jc w:val="both"/>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4"/>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lang w:val="en-IN" w:eastAsia="en-US"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Mangal" w:asciiTheme="minorHAnsi" w:cstheme="minorBidi" w:eastAsiaTheme="minorHAnsi" w:hAnsiTheme="minorHAnsi"/>
      <w:color w:val="auto"/>
      <w:sz w:val="22"/>
      <w:szCs w:val="20"/>
      <w:lang w:val="en-IN" w:eastAsia="en-US" w:bidi="hi-IN"/>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997b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LibreOffice/5.1.6.2$Linux_X86_64 LibreOffice_project/10m0$Build-2</Application>
  <Pages>2</Pages>
  <Words>397</Words>
  <CharactersWithSpaces>2268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2021-02-19T05:48:00Z</dcterms:created>
  <dc:creator>Trisha Sharma</dc:creator>
  <dc:description/>
  <dc:language>en-US</dc:language>
  <cp:lastModifiedBy>Trisha Sharma</cp:lastModifiedBy>
  <dcterms:modified xsi:type="dcterms:W3CDTF">2021-02-19T06:16:00Z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