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3E9E5" w14:textId="77777777" w:rsidR="000C22AD" w:rsidRDefault="000C22AD" w:rsidP="000C22AD">
      <w:pPr>
        <w:pStyle w:val="NormalWeb"/>
        <w:spacing w:before="0" w:beforeAutospacing="0" w:after="0" w:afterAutospacing="0"/>
        <w:textAlignment w:val="baseline"/>
        <w:rPr>
          <w:rFonts w:ascii="Helvetica" w:hAnsi="Helvetica"/>
          <w:color w:val="111111"/>
        </w:rPr>
      </w:pPr>
    </w:p>
    <w:p w14:paraId="5D60D0B4" w14:textId="77777777" w:rsidR="000C22AD" w:rsidRDefault="000C22AD" w:rsidP="000C22AD">
      <w:pPr>
        <w:pStyle w:val="NormalWeb"/>
        <w:spacing w:before="0" w:beforeAutospacing="0" w:after="0" w:afterAutospacing="0"/>
        <w:textAlignment w:val="baseline"/>
        <w:rPr>
          <w:rFonts w:ascii="Helvetica" w:hAnsi="Helvetica"/>
          <w:color w:val="111111"/>
        </w:rPr>
      </w:pPr>
    </w:p>
    <w:p w14:paraId="6633736A" w14:textId="77777777" w:rsidR="000C22AD" w:rsidRPr="000C22AD" w:rsidRDefault="000C22AD" w:rsidP="000C22AD">
      <w:pPr>
        <w:shd w:val="clear" w:color="auto" w:fill="FFFFFF"/>
        <w:spacing w:before="300" w:after="0" w:line="240" w:lineRule="auto"/>
        <w:textAlignment w:val="baseline"/>
        <w:outlineLvl w:val="0"/>
        <w:rPr>
          <w:rFonts w:ascii="Helvetica" w:eastAsia="Times New Roman" w:hAnsi="Helvetica" w:cs="Times New Roman"/>
          <w:b/>
          <w:bCs/>
          <w:color w:val="B9348B"/>
          <w:kern w:val="36"/>
          <w:sz w:val="40"/>
          <w:szCs w:val="40"/>
        </w:rPr>
      </w:pPr>
      <w:r w:rsidRPr="000C22AD">
        <w:rPr>
          <w:rFonts w:ascii="Helvetica" w:eastAsia="Times New Roman" w:hAnsi="Helvetica" w:cs="Times New Roman"/>
          <w:b/>
          <w:bCs/>
          <w:color w:val="B9348B"/>
          <w:kern w:val="36"/>
          <w:sz w:val="40"/>
          <w:szCs w:val="40"/>
        </w:rPr>
        <w:t>Carlsberg uses staff feedback to gauge success of financial wellbeing strategy</w:t>
      </w:r>
    </w:p>
    <w:p w14:paraId="5EDF842B" w14:textId="77777777" w:rsidR="000C22AD" w:rsidRDefault="000C22AD" w:rsidP="000C22AD">
      <w:pPr>
        <w:pStyle w:val="NormalWeb"/>
        <w:spacing w:before="0" w:beforeAutospacing="0" w:after="0" w:afterAutospacing="0"/>
        <w:textAlignment w:val="baseline"/>
        <w:rPr>
          <w:rFonts w:ascii="Helvetica" w:hAnsi="Helvetica"/>
          <w:color w:val="111111"/>
        </w:rPr>
      </w:pPr>
    </w:p>
    <w:p w14:paraId="3FDE5D95" w14:textId="77777777" w:rsidR="000C22AD" w:rsidRDefault="000C22AD" w:rsidP="000C22AD">
      <w:pPr>
        <w:pStyle w:val="NormalWeb"/>
        <w:spacing w:before="0" w:beforeAutospacing="0" w:after="0" w:afterAutospacing="0"/>
        <w:textAlignment w:val="baseline"/>
        <w:rPr>
          <w:rFonts w:ascii="Helvetica" w:hAnsi="Helvetica"/>
          <w:color w:val="111111"/>
        </w:rPr>
      </w:pPr>
      <w:r>
        <w:rPr>
          <w:rFonts w:ascii="Helvetica" w:hAnsi="Helvetica"/>
          <w:color w:val="111111"/>
        </w:rPr>
        <w:t>Brewery giant Carlsberg launched a proactive </w:t>
      </w:r>
      <w:hyperlink r:id="rId4" w:tgtFrame="_blank" w:history="1">
        <w:r>
          <w:rPr>
            <w:rStyle w:val="Hyperlink"/>
            <w:rFonts w:ascii="inherit" w:hAnsi="inherit"/>
            <w:color w:val="B9348B"/>
            <w:u w:val="none"/>
            <w:bdr w:val="none" w:sz="0" w:space="0" w:color="auto" w:frame="1"/>
          </w:rPr>
          <w:t>financial wellbeing</w:t>
        </w:r>
      </w:hyperlink>
      <w:r>
        <w:rPr>
          <w:rFonts w:ascii="Helvetica" w:hAnsi="Helvetica"/>
          <w:color w:val="111111"/>
        </w:rPr>
        <w:t> </w:t>
      </w:r>
      <w:proofErr w:type="spellStart"/>
      <w:r>
        <w:rPr>
          <w:rFonts w:ascii="Helvetica" w:hAnsi="Helvetica"/>
          <w:color w:val="111111"/>
        </w:rPr>
        <w:t>programme</w:t>
      </w:r>
      <w:proofErr w:type="spellEnd"/>
      <w:r>
        <w:rPr>
          <w:rFonts w:ascii="Helvetica" w:hAnsi="Helvetica"/>
          <w:color w:val="111111"/>
        </w:rPr>
        <w:t xml:space="preserve"> in January 2018 for its 700 UK employees, ranging from head office staff, brewery production, sales teams and contact </w:t>
      </w:r>
      <w:proofErr w:type="spellStart"/>
      <w:r>
        <w:rPr>
          <w:rFonts w:ascii="Helvetica" w:hAnsi="Helvetica"/>
          <w:color w:val="111111"/>
        </w:rPr>
        <w:t>centres</w:t>
      </w:r>
      <w:proofErr w:type="spellEnd"/>
      <w:r>
        <w:rPr>
          <w:rFonts w:ascii="Helvetica" w:hAnsi="Helvetica"/>
          <w:color w:val="111111"/>
        </w:rPr>
        <w:t>.</w:t>
      </w:r>
    </w:p>
    <w:p w14:paraId="50B8EF8D" w14:textId="77777777" w:rsidR="000C22AD" w:rsidRDefault="000C22AD" w:rsidP="000C22AD">
      <w:pPr>
        <w:pStyle w:val="NormalWeb"/>
        <w:spacing w:before="0" w:beforeAutospacing="0" w:after="0" w:afterAutospacing="0"/>
        <w:textAlignment w:val="baseline"/>
        <w:rPr>
          <w:rFonts w:ascii="Helvetica" w:hAnsi="Helvetica"/>
          <w:color w:val="111111"/>
        </w:rPr>
      </w:pPr>
      <w:r>
        <w:rPr>
          <w:rFonts w:ascii="Helvetica" w:hAnsi="Helvetica"/>
          <w:color w:val="111111"/>
        </w:rPr>
        <w:t xml:space="preserve">Activities within the </w:t>
      </w:r>
      <w:proofErr w:type="spellStart"/>
      <w:r>
        <w:rPr>
          <w:rFonts w:ascii="Helvetica" w:hAnsi="Helvetica"/>
          <w:color w:val="111111"/>
        </w:rPr>
        <w:t>programme</w:t>
      </w:r>
      <w:proofErr w:type="spellEnd"/>
      <w:r>
        <w:rPr>
          <w:rFonts w:ascii="Helvetica" w:hAnsi="Helvetica"/>
          <w:color w:val="111111"/>
        </w:rPr>
        <w:t xml:space="preserve"> include on-site mortgage sessions and one-to-one independent mortgage advice, </w:t>
      </w:r>
      <w:hyperlink r:id="rId5" w:tgtFrame="_blank" w:history="1">
        <w:r>
          <w:rPr>
            <w:rStyle w:val="Hyperlink"/>
            <w:rFonts w:ascii="inherit" w:hAnsi="inherit"/>
            <w:color w:val="B9348B"/>
            <w:u w:val="none"/>
            <w:bdr w:val="none" w:sz="0" w:space="0" w:color="auto" w:frame="1"/>
          </w:rPr>
          <w:t>pension</w:t>
        </w:r>
      </w:hyperlink>
      <w:r>
        <w:rPr>
          <w:rFonts w:ascii="Helvetica" w:hAnsi="Helvetica"/>
          <w:color w:val="111111"/>
        </w:rPr>
        <w:t> presentations, access to </w:t>
      </w:r>
      <w:hyperlink r:id="rId6" w:tgtFrame="_blank" w:history="1">
        <w:r>
          <w:rPr>
            <w:rStyle w:val="Hyperlink"/>
            <w:rFonts w:ascii="inherit" w:hAnsi="inherit"/>
            <w:color w:val="B9348B"/>
            <w:u w:val="none"/>
            <w:bdr w:val="none" w:sz="0" w:space="0" w:color="auto" w:frame="1"/>
          </w:rPr>
          <w:t>payroll loans</w:t>
        </w:r>
      </w:hyperlink>
      <w:r>
        <w:rPr>
          <w:rFonts w:ascii="Helvetica" w:hAnsi="Helvetica"/>
          <w:color w:val="111111"/>
        </w:rPr>
        <w:t>, a home rental benefit offered by Canopy, </w:t>
      </w:r>
      <w:hyperlink r:id="rId7" w:tgtFrame="_blank" w:history="1">
        <w:r>
          <w:rPr>
            <w:rStyle w:val="Hyperlink"/>
            <w:rFonts w:ascii="inherit" w:hAnsi="inherit"/>
            <w:color w:val="B9348B"/>
            <w:u w:val="none"/>
            <w:bdr w:val="none" w:sz="0" w:space="0" w:color="auto" w:frame="1"/>
          </w:rPr>
          <w:t>wellbeing</w:t>
        </w:r>
      </w:hyperlink>
      <w:r>
        <w:rPr>
          <w:rFonts w:ascii="Helvetica" w:hAnsi="Helvetica"/>
          <w:color w:val="111111"/>
        </w:rPr>
        <w:t> training for managers, information booklets and tailored events.</w:t>
      </w:r>
    </w:p>
    <w:p w14:paraId="61CAC691" w14:textId="77777777" w:rsidR="000C22AD" w:rsidRDefault="000C22AD" w:rsidP="000C22AD">
      <w:pPr>
        <w:pStyle w:val="NormalWeb"/>
        <w:spacing w:before="300" w:beforeAutospacing="0" w:after="300" w:afterAutospacing="0"/>
        <w:textAlignment w:val="baseline"/>
        <w:rPr>
          <w:rFonts w:ascii="Helvetica" w:hAnsi="Helvetica"/>
          <w:color w:val="111111"/>
        </w:rPr>
      </w:pPr>
      <w:r>
        <w:rPr>
          <w:rFonts w:ascii="Helvetica" w:hAnsi="Helvetica"/>
          <w:color w:val="111111"/>
        </w:rPr>
        <w:t>When it comes to measuring and evidencing the return on investment (ROI) of all this activity, the focus for Carlsberg is more about listening to employees than worrying about figures on a spreadsheet.</w:t>
      </w:r>
    </w:p>
    <w:p w14:paraId="3B309A6B" w14:textId="77777777" w:rsidR="000C22AD" w:rsidRDefault="000C22AD" w:rsidP="000C22AD">
      <w:pPr>
        <w:pStyle w:val="NormalWeb"/>
        <w:spacing w:before="0" w:beforeAutospacing="0" w:after="0" w:afterAutospacing="0"/>
        <w:textAlignment w:val="baseline"/>
        <w:rPr>
          <w:rFonts w:ascii="Helvetica" w:hAnsi="Helvetica"/>
          <w:color w:val="111111"/>
        </w:rPr>
      </w:pPr>
      <w:r>
        <w:rPr>
          <w:rFonts w:ascii="Helvetica" w:hAnsi="Helvetica"/>
          <w:color w:val="111111"/>
        </w:rPr>
        <w:t xml:space="preserve">Debbie Fennell, compensation and benefits specialist at Carlsberg, says: “It is well </w:t>
      </w:r>
      <w:proofErr w:type="spellStart"/>
      <w:r>
        <w:rPr>
          <w:rFonts w:ascii="Helvetica" w:hAnsi="Helvetica"/>
          <w:color w:val="111111"/>
        </w:rPr>
        <w:t>recognised</w:t>
      </w:r>
      <w:proofErr w:type="spellEnd"/>
      <w:r>
        <w:rPr>
          <w:rFonts w:ascii="Helvetica" w:hAnsi="Helvetica"/>
          <w:color w:val="111111"/>
        </w:rPr>
        <w:t xml:space="preserve"> that </w:t>
      </w:r>
      <w:hyperlink r:id="rId8" w:tgtFrame="_blank" w:history="1">
        <w:r>
          <w:rPr>
            <w:rStyle w:val="Hyperlink"/>
            <w:rFonts w:ascii="inherit" w:hAnsi="inherit"/>
            <w:color w:val="B9348B"/>
            <w:u w:val="none"/>
            <w:bdr w:val="none" w:sz="0" w:space="0" w:color="auto" w:frame="1"/>
          </w:rPr>
          <w:t>financial wellbeing</w:t>
        </w:r>
      </w:hyperlink>
      <w:r>
        <w:rPr>
          <w:rFonts w:ascii="Helvetica" w:hAnsi="Helvetica"/>
          <w:color w:val="111111"/>
        </w:rPr>
        <w:t> has close links to </w:t>
      </w:r>
      <w:hyperlink r:id="rId9" w:tgtFrame="_blank" w:history="1">
        <w:r>
          <w:rPr>
            <w:rStyle w:val="Hyperlink"/>
            <w:rFonts w:ascii="inherit" w:hAnsi="inherit"/>
            <w:color w:val="B9348B"/>
            <w:u w:val="none"/>
            <w:bdr w:val="none" w:sz="0" w:space="0" w:color="auto" w:frame="1"/>
          </w:rPr>
          <w:t>health and wellbeing</w:t>
        </w:r>
      </w:hyperlink>
      <w:r>
        <w:rPr>
          <w:rFonts w:ascii="Helvetica" w:hAnsi="Helvetica"/>
          <w:color w:val="111111"/>
        </w:rPr>
        <w:t>, </w:t>
      </w:r>
      <w:hyperlink r:id="rId10" w:tgtFrame="_blank" w:history="1">
        <w:r>
          <w:rPr>
            <w:rStyle w:val="Hyperlink"/>
            <w:rFonts w:ascii="inherit" w:hAnsi="inherit"/>
            <w:color w:val="B9348B"/>
            <w:u w:val="none"/>
            <w:bdr w:val="none" w:sz="0" w:space="0" w:color="auto" w:frame="1"/>
          </w:rPr>
          <w:t>productivity</w:t>
        </w:r>
      </w:hyperlink>
      <w:r>
        <w:rPr>
          <w:rFonts w:ascii="Helvetica" w:hAnsi="Helvetica"/>
          <w:color w:val="111111"/>
        </w:rPr>
        <w:t> and engagement. So, there are a lot of measures [</w:t>
      </w:r>
      <w:proofErr w:type="spellStart"/>
      <w:r>
        <w:rPr>
          <w:rFonts w:ascii="Helvetica" w:hAnsi="Helvetica"/>
          <w:color w:val="111111"/>
        </w:rPr>
        <w:t>organisations</w:t>
      </w:r>
      <w:proofErr w:type="spellEnd"/>
      <w:r>
        <w:rPr>
          <w:rFonts w:ascii="Helvetica" w:hAnsi="Helvetica"/>
          <w:color w:val="111111"/>
        </w:rPr>
        <w:t>] can look at: absence statistics, </w:t>
      </w:r>
      <w:hyperlink r:id="rId11" w:tgtFrame="_blank" w:history="1">
        <w:r>
          <w:rPr>
            <w:rStyle w:val="Hyperlink"/>
            <w:rFonts w:ascii="inherit" w:hAnsi="inherit"/>
            <w:color w:val="B9348B"/>
            <w:u w:val="none"/>
            <w:bdr w:val="none" w:sz="0" w:space="0" w:color="auto" w:frame="1"/>
          </w:rPr>
          <w:t>employee engagement</w:t>
        </w:r>
      </w:hyperlink>
      <w:r>
        <w:rPr>
          <w:rFonts w:ascii="Helvetica" w:hAnsi="Helvetica"/>
          <w:color w:val="111111"/>
        </w:rPr>
        <w:t xml:space="preserve"> surveys, [employee assistance </w:t>
      </w:r>
      <w:proofErr w:type="spellStart"/>
      <w:r>
        <w:rPr>
          <w:rFonts w:ascii="Helvetica" w:hAnsi="Helvetica"/>
          <w:color w:val="111111"/>
        </w:rPr>
        <w:t>programme</w:t>
      </w:r>
      <w:proofErr w:type="spellEnd"/>
      <w:r>
        <w:rPr>
          <w:rFonts w:ascii="Helvetica" w:hAnsi="Helvetica"/>
          <w:color w:val="111111"/>
        </w:rPr>
        <w:t>] take-up, take-up of financial benefits such as </w:t>
      </w:r>
      <w:hyperlink r:id="rId12" w:tgtFrame="_blank" w:history="1">
        <w:r>
          <w:rPr>
            <w:rStyle w:val="Hyperlink"/>
            <w:rFonts w:ascii="inherit" w:hAnsi="inherit"/>
            <w:color w:val="B9348B"/>
            <w:u w:val="none"/>
            <w:bdr w:val="none" w:sz="0" w:space="0" w:color="auto" w:frame="1"/>
          </w:rPr>
          <w:t>pensions</w:t>
        </w:r>
      </w:hyperlink>
      <w:r>
        <w:rPr>
          <w:rFonts w:ascii="Helvetica" w:hAnsi="Helvetica"/>
          <w:color w:val="111111"/>
        </w:rPr>
        <w:t> or loans, and so on.</w:t>
      </w:r>
    </w:p>
    <w:p w14:paraId="52A0CA5F" w14:textId="77777777" w:rsidR="000C22AD" w:rsidRDefault="000C22AD" w:rsidP="000C22AD">
      <w:pPr>
        <w:pStyle w:val="NormalWeb"/>
        <w:spacing w:before="0" w:beforeAutospacing="0" w:after="0" w:afterAutospacing="0"/>
        <w:textAlignment w:val="baseline"/>
        <w:rPr>
          <w:rFonts w:ascii="Helvetica" w:hAnsi="Helvetica"/>
          <w:color w:val="111111"/>
        </w:rPr>
      </w:pPr>
      <w:r>
        <w:rPr>
          <w:rFonts w:ascii="Helvetica" w:hAnsi="Helvetica"/>
          <w:color w:val="111111"/>
        </w:rPr>
        <w:t>However, this collection of data may not be pertinent when it comes to measuring the success of a financial wellbeing strategy. “[It] can give [us] a picture, but it may not necessarily be that accurate anyway,” Fennell explains. “For example, absence rates might actually go up when [employers] put in place </w:t>
      </w:r>
      <w:hyperlink r:id="rId13" w:tgtFrame="_blank" w:history="1">
        <w:r>
          <w:rPr>
            <w:rStyle w:val="Hyperlink"/>
            <w:rFonts w:ascii="inherit" w:hAnsi="inherit"/>
            <w:color w:val="B9348B"/>
            <w:u w:val="none"/>
            <w:bdr w:val="none" w:sz="0" w:space="0" w:color="auto" w:frame="1"/>
          </w:rPr>
          <w:t>financial wellbeing</w:t>
        </w:r>
      </w:hyperlink>
      <w:r>
        <w:rPr>
          <w:rFonts w:ascii="Helvetica" w:hAnsi="Helvetica"/>
          <w:color w:val="111111"/>
        </w:rPr>
        <w:t> support, because there may be less financial anxiety-based presenteeism going on.”</w:t>
      </w:r>
    </w:p>
    <w:p w14:paraId="7D806DA2" w14:textId="77777777" w:rsidR="000C22AD" w:rsidRDefault="000C22AD" w:rsidP="000C22AD">
      <w:pPr>
        <w:pStyle w:val="NormalWeb"/>
        <w:spacing w:before="300" w:beforeAutospacing="0" w:after="300" w:afterAutospacing="0"/>
        <w:textAlignment w:val="baseline"/>
        <w:rPr>
          <w:rFonts w:ascii="Helvetica" w:hAnsi="Helvetica"/>
          <w:color w:val="111111"/>
        </w:rPr>
      </w:pPr>
      <w:r>
        <w:rPr>
          <w:rFonts w:ascii="Helvetica" w:hAnsi="Helvetica"/>
          <w:color w:val="111111"/>
        </w:rPr>
        <w:t>For Fennell, the statistics are, in fact, the least relevant component when it comes to measuring ROI on financial wellbeing initiatives. “To an extent, I don’t think it really matters that [we cannot] measure or quantify it,” she says. “For me, what is important is constantly getting feedback from employees. That is really key, as it helps to guide our strategy and what we do simply because we have a clear idea of what it is people want.”</w:t>
      </w:r>
    </w:p>
    <w:p w14:paraId="42FAD8DC" w14:textId="77777777" w:rsidR="000C22AD" w:rsidRDefault="000C22AD" w:rsidP="000C22AD">
      <w:pPr>
        <w:pStyle w:val="NormalWeb"/>
        <w:spacing w:before="0" w:beforeAutospacing="0" w:after="0" w:afterAutospacing="0"/>
        <w:textAlignment w:val="baseline"/>
        <w:rPr>
          <w:rFonts w:ascii="Helvetica" w:hAnsi="Helvetica"/>
          <w:color w:val="111111"/>
        </w:rPr>
      </w:pPr>
      <w:r>
        <w:rPr>
          <w:rFonts w:ascii="Helvetica" w:hAnsi="Helvetica"/>
          <w:color w:val="111111"/>
        </w:rPr>
        <w:t>For example, in June and July 2018, a survey of and meeting with the sales team highlighted that what was of most interest was the </w:t>
      </w:r>
      <w:hyperlink r:id="rId14" w:tgtFrame="_blank" w:history="1">
        <w:r>
          <w:rPr>
            <w:rStyle w:val="Hyperlink"/>
            <w:rFonts w:ascii="inherit" w:hAnsi="inherit"/>
            <w:color w:val="B9348B"/>
            <w:u w:val="none"/>
            <w:bdr w:val="none" w:sz="0" w:space="0" w:color="auto" w:frame="1"/>
          </w:rPr>
          <w:t>workplace pension</w:t>
        </w:r>
      </w:hyperlink>
      <w:r>
        <w:rPr>
          <w:rFonts w:ascii="Helvetica" w:hAnsi="Helvetica"/>
          <w:color w:val="111111"/>
        </w:rPr>
        <w:t xml:space="preserve">. This led to pensions talks, which took place at the </w:t>
      </w:r>
      <w:proofErr w:type="spellStart"/>
      <w:r>
        <w:rPr>
          <w:rFonts w:ascii="Helvetica" w:hAnsi="Helvetica"/>
          <w:color w:val="111111"/>
        </w:rPr>
        <w:t>organisation’s</w:t>
      </w:r>
      <w:proofErr w:type="spellEnd"/>
      <w:r>
        <w:rPr>
          <w:rFonts w:ascii="Helvetica" w:hAnsi="Helvetica"/>
          <w:color w:val="111111"/>
        </w:rPr>
        <w:t xml:space="preserve"> head office in May 2018, and again at a sales conference in September 2018.</w:t>
      </w:r>
    </w:p>
    <w:p w14:paraId="3A45F83C" w14:textId="5DDCC817" w:rsidR="00F651F5" w:rsidRDefault="000C22AD" w:rsidP="00DB67A0">
      <w:pPr>
        <w:pStyle w:val="NormalWeb"/>
        <w:spacing w:before="0" w:beforeAutospacing="0" w:after="0" w:afterAutospacing="0"/>
        <w:textAlignment w:val="baseline"/>
      </w:pPr>
      <w:r>
        <w:rPr>
          <w:rFonts w:ascii="Helvetica" w:hAnsi="Helvetica"/>
          <w:color w:val="111111"/>
        </w:rPr>
        <w:t>“[One would] assume that, for a mobile sales force, things like </w:t>
      </w:r>
      <w:proofErr w:type="spellStart"/>
      <w:r>
        <w:rPr>
          <w:rFonts w:ascii="Helvetica" w:hAnsi="Helvetica"/>
          <w:color w:val="111111"/>
        </w:rPr>
        <w:fldChar w:fldCharType="begin"/>
      </w:r>
      <w:r>
        <w:rPr>
          <w:rFonts w:ascii="Helvetica" w:hAnsi="Helvetica"/>
          <w:color w:val="111111"/>
        </w:rPr>
        <w:instrText xml:space="preserve"> HYPERLINK "https://www.employeebenefits.co.uk/healthcare-and-wellbeing/" \t "_blank" </w:instrText>
      </w:r>
      <w:r>
        <w:rPr>
          <w:rFonts w:ascii="Helvetica" w:hAnsi="Helvetica"/>
          <w:color w:val="111111"/>
        </w:rPr>
        <w:fldChar w:fldCharType="separate"/>
      </w:r>
      <w:r>
        <w:rPr>
          <w:rStyle w:val="Hyperlink"/>
          <w:rFonts w:ascii="inherit" w:hAnsi="inherit"/>
          <w:color w:val="B9348B"/>
          <w:u w:val="none"/>
          <w:bdr w:val="none" w:sz="0" w:space="0" w:color="auto" w:frame="1"/>
        </w:rPr>
        <w:t>subsidised</w:t>
      </w:r>
      <w:proofErr w:type="spellEnd"/>
      <w:r>
        <w:rPr>
          <w:rStyle w:val="Hyperlink"/>
          <w:rFonts w:ascii="inherit" w:hAnsi="inherit"/>
          <w:color w:val="B9348B"/>
          <w:u w:val="none"/>
          <w:bdr w:val="none" w:sz="0" w:space="0" w:color="auto" w:frame="1"/>
        </w:rPr>
        <w:t xml:space="preserve"> </w:t>
      </w:r>
      <w:proofErr w:type="spellStart"/>
      <w:r>
        <w:rPr>
          <w:rStyle w:val="Hyperlink"/>
          <w:rFonts w:ascii="inherit" w:hAnsi="inherit"/>
          <w:color w:val="B9348B"/>
          <w:u w:val="none"/>
          <w:bdr w:val="none" w:sz="0" w:space="0" w:color="auto" w:frame="1"/>
        </w:rPr>
        <w:t>gyms</w:t>
      </w:r>
      <w:r>
        <w:rPr>
          <w:rFonts w:ascii="Helvetica" w:hAnsi="Helvetica"/>
          <w:color w:val="111111"/>
        </w:rPr>
        <w:fldChar w:fldCharType="end"/>
      </w:r>
      <w:r>
        <w:rPr>
          <w:rFonts w:ascii="Helvetica" w:hAnsi="Helvetica"/>
          <w:color w:val="111111"/>
        </w:rPr>
        <w:t>they</w:t>
      </w:r>
      <w:proofErr w:type="spellEnd"/>
      <w:r>
        <w:rPr>
          <w:rFonts w:ascii="Helvetica" w:hAnsi="Helvetica"/>
          <w:color w:val="111111"/>
        </w:rPr>
        <w:t xml:space="preserve"> could access around the country would be more of a priority,” Fennell adds. “But what came through loud and clear was that they wanted more information about the </w:t>
      </w:r>
      <w:hyperlink r:id="rId15" w:tgtFrame="_blank" w:history="1">
        <w:r>
          <w:rPr>
            <w:rStyle w:val="Hyperlink"/>
            <w:rFonts w:ascii="inherit" w:hAnsi="inherit"/>
            <w:color w:val="B9348B"/>
            <w:u w:val="none"/>
            <w:bdr w:val="none" w:sz="0" w:space="0" w:color="auto" w:frame="1"/>
          </w:rPr>
          <w:t>pension</w:t>
        </w:r>
      </w:hyperlink>
      <w:r>
        <w:rPr>
          <w:rFonts w:ascii="Helvetica" w:hAnsi="Helvetica"/>
          <w:color w:val="111111"/>
        </w:rPr>
        <w:t>. So, we’ve now held a pensions talk at a sales team conference, for which we’ve had great feedback.”</w:t>
      </w:r>
      <w:bookmarkStart w:id="0" w:name="_GoBack"/>
      <w:bookmarkEnd w:id="0"/>
    </w:p>
    <w:sectPr w:rsidR="00F651F5" w:rsidSect="004D1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22AD"/>
    <w:rsid w:val="000C22AD"/>
    <w:rsid w:val="004C7F3D"/>
    <w:rsid w:val="004D1D2E"/>
    <w:rsid w:val="0092780C"/>
    <w:rsid w:val="00BC6AC0"/>
    <w:rsid w:val="00CA7072"/>
    <w:rsid w:val="00DB67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68E9"/>
  <w15:docId w15:val="{92303EDD-449B-4C62-88FE-46FEB826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D2E"/>
  </w:style>
  <w:style w:type="paragraph" w:styleId="Heading1">
    <w:name w:val="heading 1"/>
    <w:basedOn w:val="Normal"/>
    <w:link w:val="Heading1Char"/>
    <w:uiPriority w:val="9"/>
    <w:qFormat/>
    <w:rsid w:val="000C22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22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22AD"/>
    <w:rPr>
      <w:color w:val="0000FF"/>
      <w:u w:val="single"/>
    </w:rPr>
  </w:style>
  <w:style w:type="character" w:styleId="Strong">
    <w:name w:val="Strong"/>
    <w:basedOn w:val="DefaultParagraphFont"/>
    <w:uiPriority w:val="22"/>
    <w:qFormat/>
    <w:rsid w:val="000C22AD"/>
    <w:rPr>
      <w:b/>
      <w:bCs/>
    </w:rPr>
  </w:style>
  <w:style w:type="character" w:customStyle="1" w:styleId="Heading1Char">
    <w:name w:val="Heading 1 Char"/>
    <w:basedOn w:val="DefaultParagraphFont"/>
    <w:link w:val="Heading1"/>
    <w:uiPriority w:val="9"/>
    <w:rsid w:val="000C22A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31051">
      <w:bodyDiv w:val="1"/>
      <w:marLeft w:val="0"/>
      <w:marRight w:val="0"/>
      <w:marTop w:val="0"/>
      <w:marBottom w:val="0"/>
      <w:divBdr>
        <w:top w:val="none" w:sz="0" w:space="0" w:color="auto"/>
        <w:left w:val="none" w:sz="0" w:space="0" w:color="auto"/>
        <w:bottom w:val="none" w:sz="0" w:space="0" w:color="auto"/>
        <w:right w:val="none" w:sz="0" w:space="0" w:color="auto"/>
      </w:divBdr>
    </w:div>
    <w:div w:id="1727949238">
      <w:bodyDiv w:val="1"/>
      <w:marLeft w:val="0"/>
      <w:marRight w:val="0"/>
      <w:marTop w:val="0"/>
      <w:marBottom w:val="0"/>
      <w:divBdr>
        <w:top w:val="none" w:sz="0" w:space="0" w:color="auto"/>
        <w:left w:val="none" w:sz="0" w:space="0" w:color="auto"/>
        <w:bottom w:val="none" w:sz="0" w:space="0" w:color="auto"/>
        <w:right w:val="none" w:sz="0" w:space="0" w:color="auto"/>
      </w:divBdr>
      <w:divsChild>
        <w:div w:id="205103219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ployeebenefits.co.uk/financial-wellbeing/" TargetMode="External"/><Relationship Id="rId13" Type="http://schemas.openxmlformats.org/officeDocument/2006/relationships/hyperlink" Target="https://www.employeebenefits.co.uk/financial-wellbeing/" TargetMode="External"/><Relationship Id="rId3" Type="http://schemas.openxmlformats.org/officeDocument/2006/relationships/webSettings" Target="webSettings.xml"/><Relationship Id="rId7" Type="http://schemas.openxmlformats.org/officeDocument/2006/relationships/hyperlink" Target="https://www.employeebenefits.co.uk/employee-wellbeing/" TargetMode="External"/><Relationship Id="rId12" Type="http://schemas.openxmlformats.org/officeDocument/2006/relationships/hyperlink" Target="https://www.employeebenefits.co.uk/pensions-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mployeebenefits.co.uk/financial-wellbeing/" TargetMode="External"/><Relationship Id="rId11" Type="http://schemas.openxmlformats.org/officeDocument/2006/relationships/hyperlink" Target="https://www.employeebenefits.co.uk/employee-engagement/" TargetMode="External"/><Relationship Id="rId5" Type="http://schemas.openxmlformats.org/officeDocument/2006/relationships/hyperlink" Target="https://www.employeebenefits.co.uk/pensions-2/" TargetMode="External"/><Relationship Id="rId15" Type="http://schemas.openxmlformats.org/officeDocument/2006/relationships/hyperlink" Target="https://www.employeebenefits.co.uk/pensions-2/" TargetMode="External"/><Relationship Id="rId10" Type="http://schemas.openxmlformats.org/officeDocument/2006/relationships/hyperlink" Target="https://www.employeebenefits.co.uk/employee-engagement/" TargetMode="External"/><Relationship Id="rId4" Type="http://schemas.openxmlformats.org/officeDocument/2006/relationships/hyperlink" Target="https://www.employeebenefits.co.uk/financial-wellbeing/" TargetMode="External"/><Relationship Id="rId9" Type="http://schemas.openxmlformats.org/officeDocument/2006/relationships/hyperlink" Target="https://www.employeebenefits.co.uk/healthcare-and-wellbeing/" TargetMode="External"/><Relationship Id="rId14" Type="http://schemas.openxmlformats.org/officeDocument/2006/relationships/hyperlink" Target="https://www.employeebenefits.co.uk/pension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3181</Characters>
  <Application>Microsoft Office Word</Application>
  <DocSecurity>0</DocSecurity>
  <Lines>26</Lines>
  <Paragraphs>7</Paragraphs>
  <ScaleCrop>false</ScaleCrop>
  <Company>Microsoft</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Tanvi</dc:creator>
  <cp:lastModifiedBy>Tanvi Rana</cp:lastModifiedBy>
  <cp:revision>2</cp:revision>
  <dcterms:created xsi:type="dcterms:W3CDTF">2018-10-29T18:04:00Z</dcterms:created>
  <dcterms:modified xsi:type="dcterms:W3CDTF">2019-11-26T11:50:00Z</dcterms:modified>
</cp:coreProperties>
</file>