
<file path=[Content_Types].xml><?xml version="1.0" encoding="utf-8"?>
<Types xmlns="http://schemas.openxmlformats.org/package/2006/content-types">
  <Override PartName="/_rels/.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_rels/document.xml.rels" ContentType="application/vnd.openxmlformats-package.relationship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0" w:after="0"/>
        <w:jc w:val="both"/>
        <w:rPr>
          <w:rFonts w:ascii="TradeGothic" w:hAnsi="TradeGothic" w:cs="TradeGothic"/>
          <w:sz w:val="18"/>
          <w:szCs w:val="18"/>
        </w:rPr>
      </w:pPr>
      <w:r>
        <w:rPr/>
      </w:r>
    </w:p>
    <w:tbl>
      <w:tblPr>
        <w:tblStyle w:val="TableGrid"/>
        <w:tblW w:w="10800" w:type="dxa"/>
        <w:jc w:val="center"/>
        <w:tblInd w:w="0" w:type="dxa"/>
        <w:tblCellMar>
          <w:top w:w="0" w:type="dxa"/>
          <w:left w:w="108" w:type="dxa"/>
          <w:bottom w:w="0" w:type="dxa"/>
          <w:right w:w="108" w:type="dxa"/>
        </w:tblCellMar>
        <w:tblLook w:val="04a0" w:noVBand="1" w:noHBand="0" w:lastColumn="0" w:firstColumn="1" w:lastRow="0" w:firstRow="1"/>
      </w:tblPr>
      <w:tblGrid>
        <w:gridCol w:w="482"/>
        <w:gridCol w:w="1446"/>
        <w:gridCol w:w="8872"/>
      </w:tblGrid>
      <w:tr>
        <w:trPr/>
        <w:tc>
          <w:tcPr>
            <w:tcW w:w="482" w:type="dxa"/>
            <w:tcBorders/>
            <w:shd w:fill="auto" w:val="clear"/>
            <w:tcMar>
              <w:left w:w="108" w:type="dxa"/>
            </w:tcMar>
          </w:tcPr>
          <w:p>
            <w:pPr>
              <w:pStyle w:val="Normal"/>
              <w:spacing w:lineRule="auto" w:line="240" w:before="0" w:after="0"/>
              <w:jc w:val="both"/>
              <w:rPr/>
            </w:pPr>
            <w:r>
              <w:rPr>
                <w:rFonts w:cs="TradeGothic" w:ascii="Arial Narrow" w:hAnsi="Arial Narrow"/>
                <w:b/>
                <w:sz w:val="20"/>
                <w:szCs w:val="20"/>
              </w:rPr>
              <w:t>Sl.</w:t>
            </w:r>
          </w:p>
        </w:tc>
        <w:tc>
          <w:tcPr>
            <w:tcW w:w="1446" w:type="dxa"/>
            <w:tcBorders/>
            <w:shd w:fill="auto" w:val="clear"/>
            <w:tcMar>
              <w:left w:w="108" w:type="dxa"/>
            </w:tcMar>
          </w:tcPr>
          <w:p>
            <w:pPr>
              <w:pStyle w:val="Normal"/>
              <w:spacing w:lineRule="auto" w:line="240" w:before="0" w:after="0"/>
              <w:jc w:val="both"/>
              <w:rPr/>
            </w:pPr>
            <w:r>
              <w:rPr>
                <w:rFonts w:cs="TradeGothic" w:ascii="Arial Narrow" w:hAnsi="Arial Narrow"/>
                <w:b/>
                <w:sz w:val="20"/>
                <w:szCs w:val="20"/>
              </w:rPr>
              <w:t>HR Role</w:t>
            </w:r>
          </w:p>
        </w:tc>
        <w:tc>
          <w:tcPr>
            <w:tcW w:w="8872" w:type="dxa"/>
            <w:tcBorders/>
            <w:shd w:fill="auto" w:val="clear"/>
            <w:tcMar>
              <w:left w:w="108" w:type="dxa"/>
            </w:tcMar>
          </w:tcPr>
          <w:p>
            <w:pPr>
              <w:pStyle w:val="Normal"/>
              <w:spacing w:lineRule="auto" w:line="240" w:before="0" w:after="0"/>
              <w:jc w:val="both"/>
              <w:rPr/>
            </w:pPr>
            <w:r>
              <w:rPr>
                <w:rFonts w:cs="TradeGothic" w:ascii="Arial Narrow" w:hAnsi="Arial Narrow"/>
                <w:b/>
                <w:sz w:val="20"/>
                <w:szCs w:val="20"/>
              </w:rPr>
              <w:t>Definition</w:t>
            </w:r>
          </w:p>
        </w:tc>
      </w:tr>
      <w:tr>
        <w:trPr/>
        <w:tc>
          <w:tcPr>
            <w:tcW w:w="482" w:type="dxa"/>
            <w:tcBorders/>
            <w:shd w:fill="auto" w:val="clear"/>
            <w:tcMar>
              <w:left w:w="108" w:type="dxa"/>
            </w:tcMar>
          </w:tcPr>
          <w:p>
            <w:pPr>
              <w:pStyle w:val="Normal"/>
              <w:spacing w:lineRule="auto" w:line="240" w:before="0" w:after="0"/>
              <w:jc w:val="center"/>
              <w:rPr/>
            </w:pPr>
            <w:r>
              <w:rPr>
                <w:rFonts w:cs="TradeGothic" w:ascii="Arial Narrow" w:hAnsi="Arial Narrow"/>
                <w:sz w:val="18"/>
                <w:szCs w:val="18"/>
              </w:rPr>
              <w:t>1</w:t>
            </w:r>
          </w:p>
        </w:tc>
        <w:tc>
          <w:tcPr>
            <w:tcW w:w="1446" w:type="dxa"/>
            <w:tcBorders/>
            <w:shd w:fill="auto" w:val="clear"/>
            <w:tcMar>
              <w:left w:w="108" w:type="dxa"/>
            </w:tcMar>
          </w:tcPr>
          <w:p>
            <w:pPr>
              <w:pStyle w:val="Normal"/>
              <w:spacing w:lineRule="auto" w:line="240" w:before="0" w:after="0"/>
              <w:rPr/>
            </w:pPr>
            <w:r>
              <w:rPr>
                <w:rFonts w:cs="TradeGothic" w:ascii="Arial Narrow" w:hAnsi="Arial Narrow"/>
                <w:sz w:val="18"/>
                <w:szCs w:val="18"/>
              </w:rPr>
              <w:t>The reactive/ proactive roles</w:t>
            </w:r>
          </w:p>
        </w:tc>
        <w:tc>
          <w:tcPr>
            <w:tcW w:w="8872" w:type="dxa"/>
            <w:tcBorders/>
            <w:shd w:fill="auto" w:val="clear"/>
            <w:tcMar>
              <w:left w:w="108" w:type="dxa"/>
            </w:tcMar>
          </w:tcPr>
          <w:p>
            <w:pPr>
              <w:pStyle w:val="Normal"/>
              <w:spacing w:lineRule="auto" w:line="240" w:before="0" w:after="0"/>
              <w:jc w:val="both"/>
              <w:rPr/>
            </w:pPr>
            <w:r>
              <w:rPr>
                <w:rFonts w:cs="TradeGothic" w:ascii="Arial Narrow" w:hAnsi="Arial Narrow"/>
                <w:sz w:val="18"/>
                <w:szCs w:val="18"/>
              </w:rPr>
              <w:t>HR practitioners can play a mainly reactive role. They do what they are told or asked to do. They respond to requests for service or advice. They provide the administrative systems required by management. This is what Storey (1992a) refers to as the non-interventionary role in which HR people merely provide a service to meet the demands of line managers.</w:t>
            </w:r>
          </w:p>
        </w:tc>
      </w:tr>
      <w:tr>
        <w:trPr/>
        <w:tc>
          <w:tcPr>
            <w:tcW w:w="482" w:type="dxa"/>
            <w:tcBorders/>
            <w:shd w:fill="auto" w:val="clear"/>
            <w:tcMar>
              <w:left w:w="108" w:type="dxa"/>
            </w:tcMar>
          </w:tcPr>
          <w:p>
            <w:pPr>
              <w:pStyle w:val="Normal"/>
              <w:spacing w:lineRule="auto" w:line="240" w:before="0" w:after="0"/>
              <w:jc w:val="center"/>
              <w:rPr/>
            </w:pPr>
            <w:r>
              <w:rPr>
                <w:rFonts w:cs="TradeGothic" w:ascii="Arial Narrow" w:hAnsi="Arial Narrow"/>
                <w:sz w:val="18"/>
                <w:szCs w:val="18"/>
              </w:rPr>
              <w:t>2</w:t>
            </w:r>
          </w:p>
        </w:tc>
        <w:tc>
          <w:tcPr>
            <w:tcW w:w="1446" w:type="dxa"/>
            <w:tcBorders/>
            <w:shd w:fill="auto" w:val="clear"/>
            <w:tcMar>
              <w:left w:w="108" w:type="dxa"/>
            </w:tcMar>
          </w:tcPr>
          <w:p>
            <w:pPr>
              <w:pStyle w:val="Normal"/>
              <w:spacing w:lineRule="auto" w:line="240" w:before="0" w:after="0"/>
              <w:rPr/>
            </w:pPr>
            <w:r>
              <w:rPr>
                <w:rFonts w:cs="TradeGothic" w:ascii="Arial Narrow" w:hAnsi="Arial Narrow"/>
                <w:sz w:val="18"/>
                <w:szCs w:val="18"/>
              </w:rPr>
              <w:t>The business partner role</w:t>
            </w:r>
          </w:p>
        </w:tc>
        <w:tc>
          <w:tcPr>
            <w:tcW w:w="8872" w:type="dxa"/>
            <w:tcBorders/>
            <w:shd w:fill="auto" w:val="clear"/>
            <w:tcMar>
              <w:left w:w="108" w:type="dxa"/>
            </w:tcMar>
          </w:tcPr>
          <w:p>
            <w:pPr>
              <w:pStyle w:val="Normal"/>
              <w:spacing w:lineRule="auto" w:line="240" w:before="0" w:after="0"/>
              <w:jc w:val="both"/>
              <w:rPr/>
            </w:pPr>
            <w:r>
              <w:rPr>
                <w:rFonts w:cs="TradeGothic" w:ascii="Arial Narrow" w:hAnsi="Arial Narrow"/>
                <w:sz w:val="18"/>
                <w:szCs w:val="18"/>
              </w:rPr>
              <w:t>As business partners, HR practitioners share responsibility with their line management colleagues for the success of the enterprise. As defined by Tyson (1985), HR specialists as business partners integrate their activities closely with top management and ensure that they serve a long-term strategic purpose and have the capacity to identify business opportunities, to see the broad picture and to see how their H R role can help to achieve the company’s business objectives. HR practitioners in their role as business partners are aware of business strategies and the opportunities and threats facing the organization. They are capable of analyzing organizational strengths and weaknesses and diagnosing the issues facing the enterprise and their human resource implications. They know about the critical success factors that will create competitive advantage and they can draw up a convincing business case for innovations that will add value.</w:t>
            </w:r>
          </w:p>
        </w:tc>
      </w:tr>
      <w:tr>
        <w:trPr/>
        <w:tc>
          <w:tcPr>
            <w:tcW w:w="482" w:type="dxa"/>
            <w:tcBorders/>
            <w:shd w:fill="auto" w:val="clear"/>
            <w:tcMar>
              <w:left w:w="108" w:type="dxa"/>
            </w:tcMar>
          </w:tcPr>
          <w:p>
            <w:pPr>
              <w:pStyle w:val="Normal"/>
              <w:spacing w:lineRule="auto" w:line="240" w:before="0" w:after="0"/>
              <w:jc w:val="center"/>
              <w:rPr/>
            </w:pPr>
            <w:r>
              <w:rPr>
                <w:rFonts w:cs="TradeGothic" w:ascii="Arial Narrow" w:hAnsi="Arial Narrow"/>
                <w:sz w:val="18"/>
                <w:szCs w:val="18"/>
              </w:rPr>
              <w:t>3</w:t>
            </w:r>
          </w:p>
        </w:tc>
        <w:tc>
          <w:tcPr>
            <w:tcW w:w="1446" w:type="dxa"/>
            <w:tcBorders/>
            <w:shd w:fill="auto" w:val="clear"/>
            <w:tcMar>
              <w:left w:w="108" w:type="dxa"/>
            </w:tcMar>
          </w:tcPr>
          <w:p>
            <w:pPr>
              <w:pStyle w:val="Normal"/>
              <w:spacing w:lineRule="auto" w:line="240" w:before="0" w:after="0"/>
              <w:rPr/>
            </w:pPr>
            <w:r>
              <w:rPr>
                <w:rFonts w:cs="TradeGothic" w:ascii="Arial Narrow" w:hAnsi="Arial Narrow"/>
                <w:sz w:val="18"/>
                <w:szCs w:val="18"/>
              </w:rPr>
              <w:t>The strategist role</w:t>
            </w:r>
          </w:p>
        </w:tc>
        <w:tc>
          <w:tcPr>
            <w:tcW w:w="8872" w:type="dxa"/>
            <w:tcBorders/>
            <w:shd w:fill="auto" w:val="clear"/>
            <w:tcMar>
              <w:left w:w="108" w:type="dxa"/>
            </w:tcMar>
          </w:tcPr>
          <w:p>
            <w:pPr>
              <w:pStyle w:val="Normal"/>
              <w:spacing w:lineRule="auto" w:line="240" w:before="0" w:after="0"/>
              <w:jc w:val="both"/>
              <w:rPr/>
            </w:pPr>
            <w:r>
              <w:rPr>
                <w:rFonts w:cs="TradeGothic" w:ascii="Arial Narrow" w:hAnsi="Arial Narrow"/>
                <w:sz w:val="18"/>
                <w:szCs w:val="18"/>
              </w:rPr>
              <w:t>As strategists, HR practitioners address major long-term issues concerning the management and development of people and the employment relationship. They are guided by the business plans of the organization but they also contribute to the formulation of the business plans. This is achieved by ensuring that top managers focus on the human resource implications of their plans. HR strategists persuade top managers that they must develop plans that make the best use of the core competences of the organization’s human resources.</w:t>
            </w:r>
          </w:p>
        </w:tc>
      </w:tr>
      <w:tr>
        <w:trPr/>
        <w:tc>
          <w:tcPr>
            <w:tcW w:w="482" w:type="dxa"/>
            <w:tcBorders/>
            <w:shd w:fill="auto" w:val="clear"/>
            <w:tcMar>
              <w:left w:w="108" w:type="dxa"/>
            </w:tcMar>
          </w:tcPr>
          <w:p>
            <w:pPr>
              <w:pStyle w:val="Normal"/>
              <w:spacing w:lineRule="auto" w:line="240" w:before="0" w:after="0"/>
              <w:jc w:val="center"/>
              <w:rPr/>
            </w:pPr>
            <w:r>
              <w:rPr>
                <w:rFonts w:cs="TradeGothic" w:ascii="Arial Narrow" w:hAnsi="Arial Narrow"/>
                <w:sz w:val="18"/>
                <w:szCs w:val="18"/>
              </w:rPr>
              <w:t>4</w:t>
            </w:r>
          </w:p>
        </w:tc>
        <w:tc>
          <w:tcPr>
            <w:tcW w:w="1446" w:type="dxa"/>
            <w:tcBorders/>
            <w:shd w:fill="auto" w:val="clear"/>
            <w:tcMar>
              <w:left w:w="108" w:type="dxa"/>
            </w:tcMar>
          </w:tcPr>
          <w:p>
            <w:pPr>
              <w:pStyle w:val="Normal"/>
              <w:spacing w:lineRule="auto" w:line="240" w:before="0" w:after="0"/>
              <w:rPr/>
            </w:pPr>
            <w:r>
              <w:rPr>
                <w:rFonts w:cs="TradeGothic" w:ascii="Arial Narrow" w:hAnsi="Arial Narrow"/>
                <w:sz w:val="18"/>
                <w:szCs w:val="18"/>
              </w:rPr>
              <w:t>The interventionist role</w:t>
            </w:r>
          </w:p>
        </w:tc>
        <w:tc>
          <w:tcPr>
            <w:tcW w:w="8872" w:type="dxa"/>
            <w:tcBorders/>
            <w:shd w:fill="auto" w:val="clear"/>
            <w:tcMar>
              <w:left w:w="108" w:type="dxa"/>
            </w:tcMar>
          </w:tcPr>
          <w:p>
            <w:pPr>
              <w:pStyle w:val="Normal"/>
              <w:spacing w:lineRule="auto" w:line="240" w:before="0" w:after="0"/>
              <w:jc w:val="both"/>
              <w:rPr/>
            </w:pPr>
            <w:r>
              <w:rPr>
                <w:rFonts w:cs="TradeGothic" w:ascii="Arial Narrow" w:hAnsi="Arial Narrow"/>
                <w:sz w:val="18"/>
                <w:szCs w:val="18"/>
              </w:rPr>
              <w:t>To intervene is to modify the course of events. An intervention is an action or an event in itself that is intended to achieve this purpose. HR practitioners are well placed to observe and analyse what is happening in and to their organizations. They can take a somewhat detached, albeit empathetic, view on what is happening to organizational processes and their impact on people. Line managers may find this more difficult because of their inevitable preoccupation with operational matters. The role of HR specialists is to adopt an all-embracing, holistic approach to understanding organizational issues and their effect on people. Following their analysis, HR professionals can produce a diagnosis of any problems and their causes and formulate proposals on what should be done about them. Interventions can be concerned with organizational processes such as interaction</w:t>
            </w:r>
          </w:p>
          <w:p>
            <w:pPr>
              <w:pStyle w:val="Normal"/>
              <w:spacing w:lineRule="auto" w:line="240" w:before="0" w:after="0"/>
              <w:jc w:val="both"/>
              <w:rPr/>
            </w:pPr>
            <w:r>
              <w:rPr>
                <w:rFonts w:cs="TradeGothic" w:ascii="Arial Narrow" w:hAnsi="Arial Narrow"/>
                <w:sz w:val="18"/>
                <w:szCs w:val="18"/>
              </w:rPr>
              <w:t xml:space="preserve">between departments and people, team work and structural change, etc. </w:t>
            </w:r>
          </w:p>
        </w:tc>
      </w:tr>
      <w:tr>
        <w:trPr/>
        <w:tc>
          <w:tcPr>
            <w:tcW w:w="482" w:type="dxa"/>
            <w:tcBorders/>
            <w:shd w:fill="auto" w:val="clear"/>
            <w:tcMar>
              <w:left w:w="108" w:type="dxa"/>
            </w:tcMar>
          </w:tcPr>
          <w:p>
            <w:pPr>
              <w:pStyle w:val="Normal"/>
              <w:spacing w:lineRule="auto" w:line="240" w:before="0" w:after="0"/>
              <w:jc w:val="center"/>
              <w:rPr/>
            </w:pPr>
            <w:r>
              <w:rPr>
                <w:rFonts w:cs="TradeGothic" w:ascii="Arial Narrow" w:hAnsi="Arial Narrow"/>
                <w:sz w:val="18"/>
                <w:szCs w:val="18"/>
              </w:rPr>
              <w:t>5</w:t>
            </w:r>
          </w:p>
        </w:tc>
        <w:tc>
          <w:tcPr>
            <w:tcW w:w="1446" w:type="dxa"/>
            <w:tcBorders/>
            <w:shd w:fill="auto" w:val="clear"/>
            <w:tcMar>
              <w:left w:w="108" w:type="dxa"/>
            </w:tcMar>
          </w:tcPr>
          <w:p>
            <w:pPr>
              <w:pStyle w:val="Normal"/>
              <w:spacing w:lineRule="auto" w:line="240" w:before="0" w:after="0"/>
              <w:rPr/>
            </w:pPr>
            <w:r>
              <w:rPr>
                <w:rFonts w:cs="TradeGothic" w:ascii="Arial Narrow" w:hAnsi="Arial Narrow"/>
                <w:sz w:val="18"/>
                <w:szCs w:val="18"/>
              </w:rPr>
              <w:t>The innovation role</w:t>
            </w:r>
          </w:p>
        </w:tc>
        <w:tc>
          <w:tcPr>
            <w:tcW w:w="8872" w:type="dxa"/>
            <w:tcBorders/>
            <w:shd w:fill="auto" w:val="clear"/>
            <w:tcMar>
              <w:left w:w="108" w:type="dxa"/>
            </w:tcMar>
          </w:tcPr>
          <w:p>
            <w:pPr>
              <w:pStyle w:val="Normal"/>
              <w:spacing w:lineRule="auto" w:line="240" w:before="0" w:after="0"/>
              <w:jc w:val="both"/>
              <w:rPr/>
            </w:pPr>
            <w:r>
              <w:rPr>
                <w:rFonts w:cs="TradeGothic" w:ascii="Arial Narrow" w:hAnsi="Arial Narrow"/>
                <w:sz w:val="18"/>
                <w:szCs w:val="18"/>
              </w:rPr>
              <w:t>A proactive approach to HRM will mean that HR specialists will want to innovate to introduce new processes and procedures which they believe will increase organizational effectiveness. The need for innovation should be established by processes of analysis and diagnosis that identify the business need and the issues to be addressed. ’Benchmarking’ can take place to identify best practice’ as adopted by other organizations. But best fit is more important than ‘best practice’. In other words, the innovation should meet the particular needs of the business, which are likely to differ from the other ‘best practice’ organizations. It has to be demonstrable that the innovation is appropriate, beneficial, practical in the circumstances and can be implemented without too much difficulty in the shape of opposition from those affected by it or the unjustifiable use of resources - financial and the time of those involved.</w:t>
            </w:r>
          </w:p>
        </w:tc>
      </w:tr>
      <w:tr>
        <w:trPr/>
        <w:tc>
          <w:tcPr>
            <w:tcW w:w="482" w:type="dxa"/>
            <w:tcBorders/>
            <w:shd w:fill="auto" w:val="clear"/>
            <w:tcMar>
              <w:left w:w="108" w:type="dxa"/>
            </w:tcMar>
          </w:tcPr>
          <w:p>
            <w:pPr>
              <w:pStyle w:val="Normal"/>
              <w:spacing w:lineRule="auto" w:line="240" w:before="0" w:after="0"/>
              <w:jc w:val="center"/>
              <w:rPr/>
            </w:pPr>
            <w:r>
              <w:rPr>
                <w:rFonts w:cs="TradeGothic" w:ascii="Arial Narrow" w:hAnsi="Arial Narrow"/>
                <w:sz w:val="18"/>
                <w:szCs w:val="18"/>
              </w:rPr>
              <w:t>6</w:t>
            </w:r>
          </w:p>
        </w:tc>
        <w:tc>
          <w:tcPr>
            <w:tcW w:w="1446" w:type="dxa"/>
            <w:tcBorders/>
            <w:shd w:fill="auto" w:val="clear"/>
            <w:tcMar>
              <w:left w:w="108" w:type="dxa"/>
            </w:tcMar>
          </w:tcPr>
          <w:p>
            <w:pPr>
              <w:pStyle w:val="Normal"/>
              <w:spacing w:lineRule="auto" w:line="240" w:before="0" w:after="0"/>
              <w:rPr/>
            </w:pPr>
            <w:r>
              <w:rPr>
                <w:rFonts w:cs="TradeGothic" w:ascii="Arial Narrow" w:hAnsi="Arial Narrow"/>
                <w:sz w:val="18"/>
                <w:szCs w:val="18"/>
              </w:rPr>
              <w:t>The internal consultancy  role</w:t>
            </w:r>
          </w:p>
        </w:tc>
        <w:tc>
          <w:tcPr>
            <w:tcW w:w="8872" w:type="dxa"/>
            <w:tcBorders/>
            <w:shd w:fill="auto" w:val="clear"/>
            <w:tcMar>
              <w:left w:w="108" w:type="dxa"/>
            </w:tcMar>
          </w:tcPr>
          <w:p>
            <w:pPr>
              <w:pStyle w:val="Normal"/>
              <w:spacing w:lineRule="auto" w:line="240" w:before="0" w:after="0"/>
              <w:jc w:val="both"/>
              <w:rPr/>
            </w:pPr>
            <w:r>
              <w:rPr>
                <w:rFonts w:cs="TradeGothic" w:ascii="Arial Narrow" w:hAnsi="Arial Narrow"/>
                <w:sz w:val="18"/>
                <w:szCs w:val="18"/>
              </w:rPr>
              <w:t>As internal consultants, HR practitioners function like external management consultants, working alongside their colleagues – their clients in analyzing problems, diagnosing, issues and proposing solutions. They will be concerned with the development of HR processes or systems, for example performance management, personal development, planning or new pay structures, and in ’process consulting’. The latter is concerned with process areas such as organization, team building, objective setting, quality management, customer service and, importantly, change management. Process consulting is the most challenging field for internal consultants because it requires both skill and credibility, and external consultants may seem to be more credible because of their perceived expertise and independence.</w:t>
            </w:r>
          </w:p>
        </w:tc>
      </w:tr>
      <w:tr>
        <w:trPr/>
        <w:tc>
          <w:tcPr>
            <w:tcW w:w="482" w:type="dxa"/>
            <w:tcBorders/>
            <w:shd w:fill="auto" w:val="clear"/>
            <w:tcMar>
              <w:left w:w="108" w:type="dxa"/>
            </w:tcMar>
          </w:tcPr>
          <w:p>
            <w:pPr>
              <w:pStyle w:val="Normal"/>
              <w:spacing w:lineRule="auto" w:line="240" w:before="0" w:after="0"/>
              <w:jc w:val="center"/>
              <w:rPr/>
            </w:pPr>
            <w:r>
              <w:rPr>
                <w:rFonts w:cs="TradeGothic" w:ascii="Arial Narrow" w:hAnsi="Arial Narrow"/>
                <w:sz w:val="18"/>
                <w:szCs w:val="18"/>
              </w:rPr>
              <w:t>7</w:t>
            </w:r>
          </w:p>
        </w:tc>
        <w:tc>
          <w:tcPr>
            <w:tcW w:w="1446" w:type="dxa"/>
            <w:tcBorders/>
            <w:shd w:fill="auto" w:val="clear"/>
            <w:tcMar>
              <w:left w:w="108" w:type="dxa"/>
            </w:tcMar>
          </w:tcPr>
          <w:p>
            <w:pPr>
              <w:pStyle w:val="Normal"/>
              <w:spacing w:lineRule="auto" w:line="240" w:before="0" w:after="0"/>
              <w:rPr/>
            </w:pPr>
            <w:r>
              <w:rPr>
                <w:rFonts w:cs="TradeGothic" w:ascii="Arial Narrow" w:hAnsi="Arial Narrow"/>
                <w:sz w:val="18"/>
                <w:szCs w:val="18"/>
              </w:rPr>
              <w:t>The monitoring role</w:t>
            </w:r>
          </w:p>
        </w:tc>
        <w:tc>
          <w:tcPr>
            <w:tcW w:w="8872" w:type="dxa"/>
            <w:tcBorders/>
            <w:shd w:fill="auto" w:val="clear"/>
            <w:tcMar>
              <w:left w:w="108" w:type="dxa"/>
            </w:tcMar>
          </w:tcPr>
          <w:p>
            <w:pPr>
              <w:pStyle w:val="Normal"/>
              <w:spacing w:lineRule="auto" w:line="240" w:before="0" w:after="0"/>
              <w:jc w:val="both"/>
              <w:rPr/>
            </w:pPr>
            <w:r>
              <w:rPr>
                <w:rFonts w:cs="TradeGothic" w:ascii="Arial Narrow" w:hAnsi="Arial Narrow"/>
                <w:sz w:val="18"/>
                <w:szCs w:val="18"/>
              </w:rPr>
              <w:t>As monitors of the application of HR policies and procedures and the extent to which the organization’s values concerning people are concerned, practitioners have a delicate, even a difficult, role to play. They are not there to police, what line managers do but it is still necessary to ensure that the policies and procedures are implemented with a reasonable degree of consistency. This role as described by Storey (1992a) can mean that HR specialists can act as ’regulators’ who are ’managers of discontent’ involved in formulating and monitoring employment rules. Although the tendency is to devolve more responsibility for HR matters to line managers, they cannot be given total freedom to flout company policy or to contravene the provisions of employment, equal opportunity and health and safety legislation. A balance has to be struck between freedom and consistency or legal obligations. For example, line managers may be given authority to award pay increases within a budget, but the HR department may monitor proposals and have the right to question unusual awards or distributions of increases. When a disciplinary case rises, the HR department has the right to insist that at the standard disciplinary procedure is followed.</w:t>
            </w:r>
          </w:p>
        </w:tc>
      </w:tr>
    </w:tbl>
    <w:p>
      <w:pPr>
        <w:pStyle w:val="Normal"/>
        <w:spacing w:lineRule="auto" w:line="360" w:before="0" w:after="0"/>
        <w:jc w:val="both"/>
        <w:rPr>
          <w:rFonts w:ascii="TradeGothic" w:hAnsi="TradeGothic" w:cs="TradeGothic"/>
          <w:i/>
          <w:i/>
          <w:sz w:val="12"/>
          <w:szCs w:val="12"/>
        </w:rPr>
      </w:pPr>
      <w:r>
        <w:rPr>
          <w:rFonts w:cs="TradeGothic" w:ascii="TradeGothic" w:hAnsi="TradeGothic"/>
          <w:i/>
          <w:sz w:val="12"/>
          <w:szCs w:val="12"/>
        </w:rPr>
      </w:r>
    </w:p>
    <w:p>
      <w:pPr>
        <w:pStyle w:val="Normal"/>
        <w:jc w:val="center"/>
        <w:rPr>
          <w:rFonts w:ascii="Tahoma" w:hAnsi="Tahoma" w:cs="Tahoma"/>
          <w:b/>
          <w:b/>
          <w:bCs/>
          <w:sz w:val="28"/>
          <w:szCs w:val="28"/>
        </w:rPr>
      </w:pPr>
      <w:r>
        <w:rPr/>
      </w:r>
    </w:p>
    <w:sectPr>
      <w:type w:val="nextPage"/>
      <w:pgSz w:w="12240" w:h="15840"/>
      <w:pgMar w:left="1134" w:right="1134" w:header="0" w:top="1134" w:footer="0" w:bottom="1134" w:gutter="0"/>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Liberation Sans">
    <w:altName w:val="Arial"/>
    <w:charset w:val="01"/>
    <w:family w:val="swiss"/>
    <w:pitch w:val="variable"/>
  </w:font>
  <w:font w:name="TradeGothic">
    <w:charset w:val="01"/>
    <w:family w:val="roman"/>
    <w:pitch w:val="variable"/>
  </w:font>
  <w:font w:name="Arial Narrow">
    <w:charset w:val="01"/>
    <w:family w:val="roman"/>
    <w:pitch w:val="variable"/>
  </w:font>
  <w:font w:name="Tahoma">
    <w:charset w:val="01"/>
    <w:family w:val="roman"/>
    <w:pitch w:val="variable"/>
  </w:font>
</w:fonts>
</file>

<file path=word/settings.xml><?xml version="1.0" encoding="utf-8"?>
<w:settings xmlns:w="http://schemas.openxmlformats.org/wordprocessingml/2006/main">
  <w:zoom w:percent="100"/>
  <w:defaultTabStop w:val="709"/>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ans CJK SC Regular" w:cs="FreeSans"/>
        <w:sz w:val="24"/>
        <w:szCs w:val="24"/>
        <w:lang w:val="en-US" w:eastAsia="zh-CN" w:bidi="hi-IN"/>
      </w:rPr>
    </w:rPrDefault>
    <w:pPrDefault>
      <w:pPr>
        <w:widowControl/>
      </w:pPr>
    </w:pPrDefault>
  </w:docDefaults>
  <w:style w:type="paragraph" w:styleId="Normal">
    <w:name w:val="Normal"/>
    <w:qFormat/>
    <w:pPr>
      <w:widowControl/>
    </w:pPr>
    <w:rPr>
      <w:rFonts w:ascii="Liberation Serif" w:hAnsi="Liberation Serif" w:eastAsia="Noto Sans CJK SC Regular" w:cs="FreeSans"/>
      <w:color w:val="auto"/>
      <w:sz w:val="24"/>
      <w:szCs w:val="24"/>
      <w:lang w:val="en-US" w:eastAsia="zh-CN" w:bidi="hi-IN"/>
    </w:rPr>
  </w:style>
  <w:style w:type="paragraph" w:styleId="Heading">
    <w:name w:val="Heading"/>
    <w:basedOn w:val="Normal"/>
    <w:next w:val="TextBody"/>
    <w:qFormat/>
    <w:pPr>
      <w:keepNext/>
      <w:spacing w:before="240" w:after="120"/>
    </w:pPr>
    <w:rPr>
      <w:rFonts w:ascii="Liberation Sans" w:hAnsi="Liberation Sans" w:eastAsia="Noto Sans CJK SC Regular" w:cs="FreeSans"/>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FreeSans"/>
    </w:rPr>
  </w:style>
  <w:style w:type="paragraph" w:styleId="Caption">
    <w:name w:val="Caption"/>
    <w:basedOn w:val="Normal"/>
    <w:qFormat/>
    <w:pPr>
      <w:suppressLineNumbers/>
      <w:spacing w:before="120" w:after="120"/>
    </w:pPr>
    <w:rPr>
      <w:rFonts w:cs="FreeSans"/>
      <w:i/>
      <w:iCs/>
      <w:sz w:val="24"/>
      <w:szCs w:val="24"/>
    </w:rPr>
  </w:style>
  <w:style w:type="paragraph" w:styleId="Index">
    <w:name w:val="Index"/>
    <w:basedOn w:val="Normal"/>
    <w:qFormat/>
    <w:pPr>
      <w:suppressLineNumbers/>
    </w:pPr>
    <w:rPr>
      <w:rFonts w:cs="FreeSan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0</TotalTime>
  <Application>LibreOffice/5.1.6.2$Linux_X86_64 LibreOffice_project/10m0$Build-2</Application>
  <Pages>1</Pages>
  <Words>909</Words>
  <Characters>5043</Characters>
  <CharactersWithSpaces>5930</CharactersWithSpaces>
  <Paragraphs>25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2018-07-02T16:52:12Z</dcterms:created>
  <dc:creator/>
  <dc:description/>
  <dc:language>en-US</dc:language>
  <cp:lastModifiedBy/>
  <dcterms:modified xsi:type="dcterms:W3CDTF">2018-07-02T16:52:52Z</dcterms:modified>
  <cp:revision>1</cp:revision>
  <dc:subject/>
  <dc:title/>
</cp:coreProperties>
</file>